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1ED932D4"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932C93">
        <w:rPr>
          <w:rFonts w:ascii="Arial" w:hAnsi="Arial" w:cs="Arial"/>
          <w:b/>
          <w:sz w:val="24"/>
          <w:szCs w:val="24"/>
        </w:rPr>
        <w:t>10</w:t>
      </w:r>
      <w:r w:rsidR="005F784F">
        <w:rPr>
          <w:rFonts w:ascii="Arial" w:hAnsi="Arial" w:cs="Arial"/>
          <w:b/>
          <w:sz w:val="24"/>
          <w:szCs w:val="24"/>
        </w:rPr>
        <w:t>8</w:t>
      </w:r>
      <w:r w:rsidRPr="00554399">
        <w:rPr>
          <w:rFonts w:ascii="Arial" w:hAnsi="Arial" w:cs="Arial"/>
          <w:b/>
          <w:sz w:val="24"/>
          <w:szCs w:val="24"/>
        </w:rPr>
        <w:tab/>
      </w:r>
      <w:r w:rsidR="0008785A" w:rsidRPr="0008785A">
        <w:rPr>
          <w:rFonts w:ascii="Arial" w:hAnsi="Arial" w:cs="Arial"/>
          <w:b/>
          <w:sz w:val="24"/>
          <w:szCs w:val="24"/>
        </w:rPr>
        <w:t>R4-2311910</w:t>
      </w:r>
    </w:p>
    <w:p w14:paraId="2C67BE8C" w14:textId="5A29B238" w:rsidR="009F52D7" w:rsidRPr="00554399" w:rsidRDefault="005F784F"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Pr>
          <w:rFonts w:ascii="Arial" w:eastAsia="SimSun" w:hAnsi="Arial"/>
          <w:b/>
          <w:sz w:val="24"/>
          <w:szCs w:val="24"/>
          <w:lang w:eastAsia="zh-CN"/>
        </w:rPr>
        <w:t>Toulouse</w:t>
      </w:r>
      <w:r w:rsidR="00314E5E">
        <w:rPr>
          <w:rFonts w:ascii="Arial" w:eastAsia="SimSun" w:hAnsi="Arial"/>
          <w:b/>
          <w:sz w:val="24"/>
          <w:szCs w:val="24"/>
          <w:lang w:eastAsia="zh-CN"/>
        </w:rPr>
        <w:t xml:space="preserve">, </w:t>
      </w:r>
      <w:r>
        <w:rPr>
          <w:rFonts w:ascii="Arial" w:eastAsia="SimSun" w:hAnsi="Arial"/>
          <w:b/>
          <w:sz w:val="24"/>
          <w:szCs w:val="24"/>
          <w:lang w:eastAsia="zh-CN"/>
        </w:rPr>
        <w:t>France</w:t>
      </w:r>
      <w:r w:rsidR="00314E5E">
        <w:rPr>
          <w:rFonts w:ascii="Arial" w:eastAsia="SimSun" w:hAnsi="Arial"/>
          <w:b/>
          <w:sz w:val="24"/>
          <w:szCs w:val="24"/>
          <w:lang w:eastAsia="zh-CN"/>
        </w:rPr>
        <w:t xml:space="preserve">, </w:t>
      </w:r>
      <w:r>
        <w:rPr>
          <w:rFonts w:ascii="Arial" w:eastAsia="SimSun" w:hAnsi="Arial"/>
          <w:b/>
          <w:sz w:val="24"/>
          <w:szCs w:val="24"/>
          <w:lang w:eastAsia="zh-CN"/>
        </w:rPr>
        <w:t>August</w:t>
      </w:r>
      <w:r w:rsidR="00970536">
        <w:rPr>
          <w:rFonts w:ascii="Arial" w:eastAsia="SimSun" w:hAnsi="Arial"/>
          <w:b/>
          <w:sz w:val="24"/>
          <w:szCs w:val="24"/>
          <w:lang w:eastAsia="zh-CN"/>
        </w:rPr>
        <w:t xml:space="preserve"> </w:t>
      </w:r>
      <w:r w:rsidR="0016792E">
        <w:rPr>
          <w:rFonts w:ascii="Arial" w:eastAsia="SimSun" w:hAnsi="Arial"/>
          <w:b/>
          <w:sz w:val="24"/>
          <w:szCs w:val="24"/>
          <w:lang w:eastAsia="zh-CN"/>
        </w:rPr>
        <w:t>2</w:t>
      </w:r>
      <w:r>
        <w:rPr>
          <w:rFonts w:ascii="Arial" w:eastAsia="SimSun" w:hAnsi="Arial"/>
          <w:b/>
          <w:sz w:val="24"/>
          <w:szCs w:val="24"/>
          <w:lang w:eastAsia="zh-CN"/>
        </w:rPr>
        <w:t>1</w:t>
      </w:r>
      <w:r w:rsidR="00970536">
        <w:rPr>
          <w:rFonts w:ascii="Arial" w:eastAsia="SimSun" w:hAnsi="Arial"/>
          <w:b/>
          <w:sz w:val="24"/>
          <w:szCs w:val="24"/>
          <w:lang w:eastAsia="zh-CN"/>
        </w:rPr>
        <w:t xml:space="preserve"> </w:t>
      </w:r>
      <w:r w:rsidR="00996052">
        <w:rPr>
          <w:rFonts w:ascii="Arial" w:eastAsia="SimSun" w:hAnsi="Arial"/>
          <w:b/>
          <w:sz w:val="24"/>
          <w:szCs w:val="24"/>
          <w:lang w:eastAsia="zh-CN"/>
        </w:rPr>
        <w:t>–</w:t>
      </w:r>
      <w:r w:rsidR="00970536">
        <w:rPr>
          <w:rFonts w:ascii="Arial" w:eastAsia="SimSun" w:hAnsi="Arial"/>
          <w:b/>
          <w:sz w:val="24"/>
          <w:szCs w:val="24"/>
          <w:lang w:eastAsia="zh-CN"/>
        </w:rPr>
        <w:t xml:space="preserve"> </w:t>
      </w:r>
      <w:r>
        <w:rPr>
          <w:rFonts w:ascii="Arial" w:eastAsia="SimSun" w:hAnsi="Arial"/>
          <w:b/>
          <w:sz w:val="24"/>
          <w:szCs w:val="24"/>
          <w:lang w:eastAsia="zh-CN"/>
        </w:rPr>
        <w:t>August</w:t>
      </w:r>
      <w:r w:rsidR="00996052">
        <w:rPr>
          <w:rFonts w:ascii="Arial" w:eastAsia="SimSun" w:hAnsi="Arial"/>
          <w:b/>
          <w:sz w:val="24"/>
          <w:szCs w:val="24"/>
          <w:lang w:eastAsia="zh-CN"/>
        </w:rPr>
        <w:t xml:space="preserve"> </w:t>
      </w:r>
      <w:r w:rsidR="002B47B4">
        <w:rPr>
          <w:rFonts w:ascii="Arial" w:eastAsia="SimSun" w:hAnsi="Arial"/>
          <w:b/>
          <w:sz w:val="24"/>
          <w:szCs w:val="24"/>
          <w:lang w:eastAsia="zh-CN"/>
        </w:rPr>
        <w:t>2</w:t>
      </w:r>
      <w:r>
        <w:rPr>
          <w:rFonts w:ascii="Arial" w:eastAsia="SimSun" w:hAnsi="Arial"/>
          <w:b/>
          <w:sz w:val="24"/>
          <w:szCs w:val="24"/>
          <w:lang w:eastAsia="zh-CN"/>
        </w:rPr>
        <w:t>5</w:t>
      </w:r>
      <w:r w:rsidR="00951300" w:rsidRPr="00CD5A36">
        <w:rPr>
          <w:rFonts w:ascii="Arial" w:eastAsia="SimSun" w:hAnsi="Arial"/>
          <w:b/>
          <w:sz w:val="24"/>
          <w:szCs w:val="24"/>
          <w:lang w:eastAsia="zh-CN"/>
        </w:rPr>
        <w:t>, 202</w:t>
      </w:r>
      <w:r w:rsidR="00DE50C3">
        <w:rPr>
          <w:rFonts w:ascii="Arial" w:eastAsia="SimSun" w:hAnsi="Arial"/>
          <w:b/>
          <w:sz w:val="24"/>
          <w:szCs w:val="24"/>
          <w:lang w:eastAsia="zh-CN"/>
        </w:rPr>
        <w:t>3</w:t>
      </w:r>
    </w:p>
    <w:p w14:paraId="2305CEA3" w14:textId="1B048366" w:rsidR="009F52D7" w:rsidRPr="00303915" w:rsidRDefault="009F52D7" w:rsidP="009F52D7">
      <w:pPr>
        <w:pStyle w:val="CH"/>
        <w:rPr>
          <w:sz w:val="24"/>
          <w:szCs w:val="24"/>
        </w:rPr>
      </w:pPr>
      <w:r w:rsidRPr="00303915">
        <w:rPr>
          <w:sz w:val="24"/>
          <w:szCs w:val="24"/>
        </w:rPr>
        <w:t>Agenda item:</w:t>
      </w:r>
      <w:r w:rsidRPr="00303915">
        <w:rPr>
          <w:sz w:val="24"/>
          <w:szCs w:val="24"/>
        </w:rPr>
        <w:tab/>
      </w:r>
      <w:r w:rsidR="0016792E">
        <w:rPr>
          <w:sz w:val="24"/>
          <w:szCs w:val="24"/>
        </w:rPr>
        <w:t>8</w:t>
      </w:r>
      <w:r w:rsidR="0087401C" w:rsidRPr="0087401C">
        <w:rPr>
          <w:sz w:val="24"/>
          <w:szCs w:val="24"/>
        </w:rPr>
        <w:t>.1</w:t>
      </w:r>
      <w:r w:rsidR="00BE5A98">
        <w:rPr>
          <w:sz w:val="24"/>
          <w:szCs w:val="24"/>
        </w:rPr>
        <w:t>1</w:t>
      </w:r>
      <w:r w:rsidR="0087401C" w:rsidRPr="0087401C">
        <w:rPr>
          <w:sz w:val="24"/>
          <w:szCs w:val="24"/>
        </w:rPr>
        <w:t>.</w:t>
      </w:r>
      <w:r w:rsidR="00F30E9C">
        <w:rPr>
          <w:sz w:val="24"/>
          <w:szCs w:val="24"/>
        </w:rPr>
        <w:t>4</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1F7954E1" w:rsidR="009F52D7" w:rsidRPr="00781B00" w:rsidRDefault="009F52D7" w:rsidP="00002176">
      <w:pPr>
        <w:pStyle w:val="CH"/>
        <w:ind w:left="2250" w:hanging="2250"/>
        <w:rPr>
          <w:lang w:val="en-DE"/>
        </w:rPr>
      </w:pPr>
      <w:r w:rsidRPr="00303915">
        <w:rPr>
          <w:sz w:val="24"/>
          <w:szCs w:val="24"/>
        </w:rPr>
        <w:t>Title:</w:t>
      </w:r>
      <w:r w:rsidRPr="00303915">
        <w:rPr>
          <w:sz w:val="24"/>
          <w:szCs w:val="24"/>
        </w:rPr>
        <w:tab/>
      </w:r>
      <w:r w:rsidR="005F784F">
        <w:rPr>
          <w:sz w:val="24"/>
          <w:szCs w:val="24"/>
        </w:rPr>
        <w:t>Testing Criteria for</w:t>
      </w:r>
      <w:r w:rsidR="00C719F6">
        <w:rPr>
          <w:sz w:val="24"/>
          <w:szCs w:val="24"/>
        </w:rPr>
        <w:t xml:space="preserve"> </w:t>
      </w:r>
      <w:r w:rsidR="00314E5E">
        <w:rPr>
          <w:sz w:val="24"/>
          <w:szCs w:val="24"/>
        </w:rPr>
        <w:t xml:space="preserve">Demodulation </w:t>
      </w:r>
      <w:r w:rsidR="008A0AC7">
        <w:rPr>
          <w:sz w:val="24"/>
          <w:szCs w:val="24"/>
        </w:rPr>
        <w:t>Requirements</w:t>
      </w:r>
      <w:r w:rsidR="00314E5E">
        <w:rPr>
          <w:sz w:val="24"/>
          <w:szCs w:val="24"/>
        </w:rPr>
        <w:t xml:space="preserve"> of Type-2 UE in Intra-band </w:t>
      </w:r>
      <w:r w:rsidR="00543313">
        <w:rPr>
          <w:sz w:val="24"/>
          <w:szCs w:val="24"/>
        </w:rPr>
        <w:t xml:space="preserve">Non-contiguous </w:t>
      </w:r>
      <w:r w:rsidR="00314E5E">
        <w:rPr>
          <w:sz w:val="24"/>
          <w:szCs w:val="24"/>
        </w:rPr>
        <w:t>Non-collocated NR-CA</w:t>
      </w:r>
    </w:p>
    <w:p w14:paraId="2AB0E874" w14:textId="15F01FE3"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EC4082">
        <w:rPr>
          <w:sz w:val="24"/>
          <w:szCs w:val="24"/>
        </w:rPr>
        <w:t>8</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08B160D0" w:rsidR="009F52D7" w:rsidRPr="00303915" w:rsidRDefault="009F52D7" w:rsidP="009F52D7">
      <w:pPr>
        <w:pStyle w:val="Heading1"/>
      </w:pPr>
      <w:r w:rsidRPr="00303915">
        <w:t>1. Introduction</w:t>
      </w:r>
    </w:p>
    <w:p w14:paraId="0B8B1506" w14:textId="42192DFA" w:rsidR="00845611" w:rsidRPr="006F6FE1" w:rsidRDefault="007C3019" w:rsidP="00395B04">
      <w:pPr>
        <w:spacing w:after="120"/>
        <w:rPr>
          <w:sz w:val="20"/>
          <w:szCs w:val="20"/>
        </w:rPr>
      </w:pPr>
      <w:r>
        <w:rPr>
          <w:sz w:val="20"/>
          <w:szCs w:val="20"/>
        </w:rPr>
        <w:t xml:space="preserve">The Intra-band Non-collocated EN-DC/NR-CA WI was approved during </w:t>
      </w:r>
      <w:r w:rsidR="00C82165" w:rsidRPr="00C82165">
        <w:rPr>
          <w:sz w:val="20"/>
          <w:szCs w:val="20"/>
        </w:rPr>
        <w:t>RAN#95 meeting</w:t>
      </w:r>
      <w:r>
        <w:rPr>
          <w:sz w:val="20"/>
          <w:szCs w:val="20"/>
        </w:rPr>
        <w:t>. The focus of this WI is to</w:t>
      </w:r>
      <w:r w:rsidR="00C82165" w:rsidRPr="00C82165">
        <w:rPr>
          <w:sz w:val="20"/>
          <w:szCs w:val="20"/>
        </w:rPr>
        <w:t xml:space="preserve"> study the feasibility </w:t>
      </w:r>
      <w:r>
        <w:rPr>
          <w:sz w:val="20"/>
          <w:szCs w:val="20"/>
        </w:rPr>
        <w:t>of</w:t>
      </w:r>
      <w:r w:rsidR="00C82165" w:rsidRPr="00C82165">
        <w:rPr>
          <w:sz w:val="20"/>
          <w:szCs w:val="20"/>
        </w:rPr>
        <w:t xml:space="preserve"> support</w:t>
      </w:r>
      <w:r>
        <w:rPr>
          <w:sz w:val="20"/>
          <w:szCs w:val="20"/>
        </w:rPr>
        <w:t>ing</w:t>
      </w:r>
      <w:r w:rsidR="00C82165" w:rsidRPr="00C82165">
        <w:rPr>
          <w:sz w:val="20"/>
          <w:szCs w:val="20"/>
        </w:rPr>
        <w:t xml:space="preserve"> non-co</w:t>
      </w:r>
      <w:r>
        <w:rPr>
          <w:sz w:val="20"/>
          <w:szCs w:val="20"/>
        </w:rPr>
        <w:t>l</w:t>
      </w:r>
      <w:r w:rsidR="00C82165" w:rsidRPr="00C82165">
        <w:rPr>
          <w:sz w:val="20"/>
          <w:szCs w:val="20"/>
        </w:rPr>
        <w:t>located scenario</w:t>
      </w:r>
      <w:r>
        <w:rPr>
          <w:sz w:val="20"/>
          <w:szCs w:val="20"/>
        </w:rPr>
        <w:t xml:space="preserve">s, including the minimum </w:t>
      </w:r>
      <w:r w:rsidR="000E3270">
        <w:rPr>
          <w:sz w:val="20"/>
          <w:szCs w:val="20"/>
        </w:rPr>
        <w:t xml:space="preserve">PDSCH </w:t>
      </w:r>
      <w:r>
        <w:rPr>
          <w:sz w:val="20"/>
          <w:szCs w:val="20"/>
        </w:rPr>
        <w:t>performance requirements</w:t>
      </w:r>
      <w:r w:rsidRPr="007C7349">
        <w:rPr>
          <w:sz w:val="20"/>
          <w:szCs w:val="20"/>
          <w:lang w:val="en-DE"/>
        </w:rPr>
        <w:t>.</w:t>
      </w:r>
      <w:r w:rsidR="000E3270">
        <w:rPr>
          <w:sz w:val="20"/>
          <w:szCs w:val="20"/>
        </w:rPr>
        <w:t xml:space="preserve"> The work has been delimited to bands </w:t>
      </w:r>
      <w:r w:rsidR="000E3270" w:rsidRPr="007C7349">
        <w:rPr>
          <w:sz w:val="20"/>
          <w:szCs w:val="20"/>
          <w:lang w:val="en-DE"/>
        </w:rPr>
        <w:t>n77/n78</w:t>
      </w:r>
      <w:r w:rsidR="000E3270">
        <w:rPr>
          <w:sz w:val="20"/>
          <w:szCs w:val="20"/>
        </w:rPr>
        <w:t xml:space="preserve">. This is, band combinations </w:t>
      </w:r>
      <w:r w:rsidR="000E3270" w:rsidRPr="000E3270">
        <w:rPr>
          <w:sz w:val="20"/>
          <w:szCs w:val="20"/>
          <w:lang w:val="en-DE"/>
        </w:rPr>
        <w:t>DC_42_n77/n78</w:t>
      </w:r>
      <w:r w:rsidR="000E3270">
        <w:rPr>
          <w:sz w:val="20"/>
          <w:szCs w:val="20"/>
        </w:rPr>
        <w:t xml:space="preserve"> for EN-DC, and </w:t>
      </w:r>
      <w:r w:rsidR="000E3270" w:rsidRPr="000E3270">
        <w:rPr>
          <w:sz w:val="20"/>
          <w:szCs w:val="20"/>
          <w:lang w:val="en-DE"/>
        </w:rPr>
        <w:t>CA_n77(2A) and CA_n78(2A)</w:t>
      </w:r>
      <w:r w:rsidR="000E3270">
        <w:rPr>
          <w:sz w:val="20"/>
          <w:szCs w:val="20"/>
        </w:rPr>
        <w:t xml:space="preserve"> for </w:t>
      </w:r>
      <w:r w:rsidR="000E3270" w:rsidRPr="000E3270">
        <w:rPr>
          <w:sz w:val="20"/>
          <w:szCs w:val="20"/>
          <w:lang w:val="en-DE"/>
        </w:rPr>
        <w:t>NR-CA</w:t>
      </w:r>
      <w:r w:rsidR="000E3270">
        <w:rPr>
          <w:sz w:val="20"/>
          <w:szCs w:val="20"/>
        </w:rPr>
        <w:t xml:space="preserve">. About minimum PDSCH performance requirements, they </w:t>
      </w:r>
      <w:r w:rsidR="009F7E2A">
        <w:rPr>
          <w:sz w:val="20"/>
          <w:szCs w:val="20"/>
        </w:rPr>
        <w:t>should</w:t>
      </w:r>
      <w:r w:rsidR="000E3270">
        <w:rPr>
          <w:sz w:val="20"/>
          <w:szCs w:val="20"/>
        </w:rPr>
        <w:t xml:space="preserve"> </w:t>
      </w:r>
      <w:r w:rsidR="009F7E2A">
        <w:rPr>
          <w:sz w:val="20"/>
          <w:szCs w:val="20"/>
        </w:rPr>
        <w:t xml:space="preserve">be </w:t>
      </w:r>
      <w:r w:rsidR="000E3270">
        <w:rPr>
          <w:sz w:val="20"/>
          <w:szCs w:val="20"/>
        </w:rPr>
        <w:t>obtained base</w:t>
      </w:r>
      <w:r w:rsidR="00C91A39">
        <w:rPr>
          <w:sz w:val="20"/>
          <w:szCs w:val="20"/>
        </w:rPr>
        <w:t>d</w:t>
      </w:r>
      <w:r w:rsidR="000E3270">
        <w:rPr>
          <w:sz w:val="20"/>
          <w:szCs w:val="20"/>
        </w:rPr>
        <w:t xml:space="preserve"> on the agreed conditions of </w:t>
      </w:r>
      <w:r w:rsidR="000E3270" w:rsidRPr="00C82165">
        <w:rPr>
          <w:sz w:val="20"/>
          <w:szCs w:val="20"/>
        </w:rPr>
        <w:t xml:space="preserve">applicable </w:t>
      </w:r>
      <w:r w:rsidR="000E3270">
        <w:rPr>
          <w:sz w:val="20"/>
          <w:szCs w:val="20"/>
        </w:rPr>
        <w:t>maximum received time difference (</w:t>
      </w:r>
      <w:r w:rsidR="000E3270" w:rsidRPr="00C82165">
        <w:rPr>
          <w:sz w:val="20"/>
          <w:szCs w:val="20"/>
        </w:rPr>
        <w:t>MRTD</w:t>
      </w:r>
      <w:r w:rsidR="000E3270">
        <w:rPr>
          <w:sz w:val="20"/>
          <w:szCs w:val="20"/>
        </w:rPr>
        <w:t>)</w:t>
      </w:r>
      <w:r w:rsidR="000E3270" w:rsidRPr="00C82165">
        <w:rPr>
          <w:sz w:val="20"/>
          <w:szCs w:val="20"/>
        </w:rPr>
        <w:t xml:space="preserve"> </w:t>
      </w:r>
      <w:r w:rsidR="000E3270">
        <w:rPr>
          <w:sz w:val="20"/>
          <w:szCs w:val="20"/>
        </w:rPr>
        <w:t xml:space="preserve">requirement </w:t>
      </w:r>
      <w:r w:rsidR="001155C3">
        <w:rPr>
          <w:sz w:val="20"/>
          <w:szCs w:val="20"/>
        </w:rPr>
        <w:t xml:space="preserve">of 33us </w:t>
      </w:r>
      <w:r w:rsidR="000E3270" w:rsidRPr="00C82165">
        <w:rPr>
          <w:sz w:val="20"/>
          <w:szCs w:val="20"/>
        </w:rPr>
        <w:t xml:space="preserve">and </w:t>
      </w:r>
      <w:r w:rsidR="001155C3">
        <w:rPr>
          <w:sz w:val="20"/>
          <w:szCs w:val="20"/>
        </w:rPr>
        <w:t xml:space="preserve">the </w:t>
      </w:r>
      <w:r w:rsidR="000E3270">
        <w:rPr>
          <w:sz w:val="20"/>
          <w:szCs w:val="20"/>
        </w:rPr>
        <w:t xml:space="preserve">maximum </w:t>
      </w:r>
      <w:r w:rsidR="000E3270" w:rsidRPr="00C82165">
        <w:rPr>
          <w:sz w:val="20"/>
          <w:szCs w:val="20"/>
        </w:rPr>
        <w:t xml:space="preserve">power imbalance </w:t>
      </w:r>
      <w:r w:rsidR="000E3270">
        <w:rPr>
          <w:sz w:val="20"/>
          <w:szCs w:val="20"/>
        </w:rPr>
        <w:t>between component carriers</w:t>
      </w:r>
      <w:r w:rsidR="001155C3">
        <w:rPr>
          <w:sz w:val="20"/>
          <w:szCs w:val="20"/>
        </w:rPr>
        <w:t xml:space="preserve"> of 25dB</w:t>
      </w:r>
      <w:r w:rsidR="000E3270">
        <w:rPr>
          <w:sz w:val="20"/>
          <w:szCs w:val="20"/>
        </w:rPr>
        <w:t>.</w:t>
      </w:r>
    </w:p>
    <w:p w14:paraId="351A68B2" w14:textId="2BD12289" w:rsidR="00395B04" w:rsidRPr="00DF7B4C" w:rsidRDefault="009F52D7" w:rsidP="00DF7B4C">
      <w:pPr>
        <w:pStyle w:val="Heading1"/>
      </w:pPr>
      <w:r>
        <w:t>2. Discussion</w:t>
      </w:r>
    </w:p>
    <w:p w14:paraId="55B69793" w14:textId="05B1FB2B" w:rsidR="00EF3C17" w:rsidRPr="00F01B56" w:rsidRDefault="00F01B56" w:rsidP="00DF7B4C">
      <w:pPr>
        <w:spacing w:after="120"/>
        <w:rPr>
          <w:sz w:val="20"/>
          <w:szCs w:val="20"/>
          <w:lang w:val="en-DE"/>
        </w:rPr>
      </w:pPr>
      <w:r w:rsidRPr="00F01B56">
        <w:rPr>
          <w:sz w:val="20"/>
          <w:szCs w:val="20"/>
          <w:lang w:val="en-DE"/>
        </w:rPr>
        <w:t xml:space="preserve">RAN4 RF core part </w:t>
      </w:r>
      <w:r w:rsidR="009F7E2A">
        <w:rPr>
          <w:sz w:val="20"/>
          <w:szCs w:val="20"/>
        </w:rPr>
        <w:t>has</w:t>
      </w:r>
      <w:r w:rsidRPr="00F01B56">
        <w:rPr>
          <w:sz w:val="20"/>
          <w:szCs w:val="20"/>
          <w:lang w:val="en-DE"/>
        </w:rPr>
        <w:t xml:space="preserve"> discuss</w:t>
      </w:r>
      <w:r w:rsidR="009F7E2A">
        <w:rPr>
          <w:sz w:val="20"/>
          <w:szCs w:val="20"/>
        </w:rPr>
        <w:t>ed a number of types of UE for this scenario. Details are included in the table below:</w:t>
      </w:r>
      <w:r w:rsidRPr="00F01B56">
        <w:rPr>
          <w:sz w:val="20"/>
          <w:szCs w:val="20"/>
          <w:lang w:val="en-DE"/>
        </w:rPr>
        <w:t xml:space="preserve"> </w:t>
      </w:r>
    </w:p>
    <w:tbl>
      <w:tblPr>
        <w:tblW w:w="4658" w:type="pct"/>
        <w:jc w:val="center"/>
        <w:tblLook w:val="04A0" w:firstRow="1" w:lastRow="0" w:firstColumn="1" w:lastColumn="0" w:noHBand="0" w:noVBand="1"/>
      </w:tblPr>
      <w:tblGrid>
        <w:gridCol w:w="498"/>
        <w:gridCol w:w="528"/>
        <w:gridCol w:w="395"/>
        <w:gridCol w:w="483"/>
        <w:gridCol w:w="604"/>
        <w:gridCol w:w="622"/>
        <w:gridCol w:w="429"/>
        <w:gridCol w:w="850"/>
        <w:gridCol w:w="929"/>
        <w:gridCol w:w="1237"/>
        <w:gridCol w:w="2136"/>
      </w:tblGrid>
      <w:tr w:rsidR="00EF3C17" w:rsidRPr="00E55EC0" w14:paraId="55921AC1" w14:textId="77777777" w:rsidTr="002173FA">
        <w:trPr>
          <w:trHeight w:val="70"/>
          <w:jc w:val="center"/>
        </w:trPr>
        <w:tc>
          <w:tcPr>
            <w:tcW w:w="498" w:type="dxa"/>
            <w:tcBorders>
              <w:top w:val="single" w:sz="4" w:space="0" w:color="auto"/>
              <w:left w:val="single" w:sz="4" w:space="0" w:color="auto"/>
              <w:bottom w:val="single" w:sz="4" w:space="0" w:color="auto"/>
              <w:right w:val="single" w:sz="4" w:space="0" w:color="auto"/>
            </w:tcBorders>
            <w:shd w:val="clear" w:color="auto" w:fill="DEEAF6"/>
          </w:tcPr>
          <w:p w14:paraId="53A9454E" w14:textId="77777777" w:rsidR="00EF3C17" w:rsidRPr="00E55EC0" w:rsidRDefault="00EF3C17" w:rsidP="00B57BCA">
            <w:pPr>
              <w:rPr>
                <w:rFonts w:ascii="Calibri" w:hAnsi="Calibri" w:cs="Calibri"/>
                <w:b/>
                <w:bCs/>
                <w:color w:val="000000"/>
                <w:sz w:val="14"/>
                <w:szCs w:val="18"/>
              </w:rPr>
            </w:pPr>
            <w:bookmarkStart w:id="2" w:name="_Hlk116987019"/>
            <w:r w:rsidRPr="00E55EC0">
              <w:rPr>
                <w:rFonts w:ascii="Calibri" w:hAnsi="Calibri" w:cs="Calibri"/>
                <w:b/>
                <w:bCs/>
                <w:color w:val="000000"/>
                <w:sz w:val="14"/>
                <w:szCs w:val="18"/>
              </w:rPr>
              <w:t>UE</w:t>
            </w:r>
          </w:p>
          <w:p w14:paraId="1FD4AAB0" w14:textId="77777777" w:rsidR="00EF3C17" w:rsidRPr="00E55EC0" w:rsidRDefault="00EF3C17" w:rsidP="00B57BCA">
            <w:pPr>
              <w:rPr>
                <w:rFonts w:ascii="Calibri" w:hAnsi="Calibri" w:cs="Calibri"/>
                <w:b/>
                <w:bCs/>
                <w:color w:val="000000"/>
                <w:sz w:val="14"/>
                <w:szCs w:val="18"/>
              </w:rPr>
            </w:pPr>
            <w:r w:rsidRPr="00E55EC0">
              <w:rPr>
                <w:rFonts w:ascii="Calibri" w:hAnsi="Calibri" w:cs="Calibri"/>
                <w:b/>
                <w:bCs/>
                <w:color w:val="000000"/>
                <w:sz w:val="14"/>
                <w:szCs w:val="18"/>
              </w:rPr>
              <w:t>Type</w:t>
            </w:r>
          </w:p>
        </w:tc>
        <w:tc>
          <w:tcPr>
            <w:tcW w:w="528" w:type="dxa"/>
            <w:tcBorders>
              <w:top w:val="single" w:sz="4" w:space="0" w:color="auto"/>
              <w:left w:val="nil"/>
              <w:bottom w:val="single" w:sz="4" w:space="0" w:color="auto"/>
              <w:right w:val="single" w:sz="4" w:space="0" w:color="auto"/>
            </w:tcBorders>
            <w:shd w:val="clear" w:color="auto" w:fill="DEEAF6"/>
            <w:noWrap/>
            <w:vAlign w:val="bottom"/>
          </w:tcPr>
          <w:p w14:paraId="3CA4E440" w14:textId="77777777" w:rsidR="00EF3C17" w:rsidRPr="00E55EC0" w:rsidRDefault="00EF3C17" w:rsidP="00B57BCA">
            <w:pPr>
              <w:rPr>
                <w:rFonts w:ascii="Calibri" w:hAnsi="Calibri" w:cs="Calibri"/>
                <w:b/>
                <w:color w:val="000000"/>
                <w:sz w:val="14"/>
                <w:szCs w:val="18"/>
              </w:rPr>
            </w:pPr>
          </w:p>
          <w:p w14:paraId="1CD53B93" w14:textId="77777777" w:rsidR="00EF3C17" w:rsidRPr="00E55EC0" w:rsidRDefault="00EF3C17" w:rsidP="00B57BCA">
            <w:pPr>
              <w:rPr>
                <w:rFonts w:ascii="Calibri" w:hAnsi="Calibri" w:cs="Calibri"/>
                <w:b/>
                <w:color w:val="000000"/>
                <w:sz w:val="14"/>
                <w:szCs w:val="18"/>
              </w:rPr>
            </w:pPr>
            <w:r w:rsidRPr="00E55EC0">
              <w:rPr>
                <w:rFonts w:ascii="Calibri" w:hAnsi="Calibri" w:cs="Calibri"/>
                <w:b/>
                <w:color w:val="000000"/>
                <w:sz w:val="14"/>
                <w:szCs w:val="18"/>
              </w:rPr>
              <w:t>CC#</w:t>
            </w:r>
          </w:p>
        </w:tc>
        <w:tc>
          <w:tcPr>
            <w:tcW w:w="878" w:type="dxa"/>
            <w:gridSpan w:val="2"/>
            <w:tcBorders>
              <w:top w:val="single" w:sz="4" w:space="0" w:color="auto"/>
              <w:left w:val="nil"/>
              <w:bottom w:val="single" w:sz="4" w:space="0" w:color="auto"/>
              <w:right w:val="single" w:sz="4" w:space="0" w:color="auto"/>
            </w:tcBorders>
            <w:shd w:val="clear" w:color="auto" w:fill="DEEAF6"/>
            <w:vAlign w:val="bottom"/>
          </w:tcPr>
          <w:p w14:paraId="3B5B4574" w14:textId="77777777" w:rsidR="00EF3C17" w:rsidRPr="00E55EC0" w:rsidRDefault="00EF3C17" w:rsidP="00B57BCA">
            <w:pPr>
              <w:jc w:val="center"/>
              <w:rPr>
                <w:rFonts w:ascii="Calibri" w:hAnsi="Calibri" w:cs="Calibri"/>
                <w:b/>
                <w:color w:val="000000"/>
                <w:sz w:val="14"/>
                <w:szCs w:val="18"/>
              </w:rPr>
            </w:pPr>
            <w:r w:rsidRPr="00E55EC0">
              <w:rPr>
                <w:rFonts w:ascii="Calibri" w:hAnsi="Calibri" w:cs="Calibri"/>
                <w:b/>
                <w:color w:val="000000"/>
                <w:sz w:val="14"/>
                <w:szCs w:val="18"/>
              </w:rPr>
              <w:t>antenna</w:t>
            </w:r>
            <w:r w:rsidRPr="00E55EC0">
              <w:rPr>
                <w:rFonts w:ascii="Calibri" w:hAnsi="Calibri" w:cs="Calibri"/>
                <w:b/>
                <w:color w:val="000000"/>
                <w:sz w:val="14"/>
                <w:szCs w:val="18"/>
              </w:rPr>
              <w:br/>
              <w:t>/ LNA</w:t>
            </w:r>
          </w:p>
        </w:tc>
        <w:tc>
          <w:tcPr>
            <w:tcW w:w="604" w:type="dxa"/>
            <w:tcBorders>
              <w:top w:val="single" w:sz="4" w:space="0" w:color="auto"/>
              <w:left w:val="nil"/>
              <w:bottom w:val="single" w:sz="4" w:space="0" w:color="auto"/>
              <w:right w:val="single" w:sz="4" w:space="0" w:color="auto"/>
            </w:tcBorders>
            <w:shd w:val="clear" w:color="auto" w:fill="DEEAF6"/>
            <w:vAlign w:val="bottom"/>
          </w:tcPr>
          <w:p w14:paraId="37843ED2" w14:textId="77777777" w:rsidR="00EF3C17" w:rsidRPr="00E55EC0" w:rsidRDefault="00EF3C17" w:rsidP="00B57BCA">
            <w:pPr>
              <w:jc w:val="center"/>
              <w:rPr>
                <w:rFonts w:ascii="Calibri" w:hAnsi="Calibri" w:cs="Calibri"/>
                <w:b/>
                <w:color w:val="000000"/>
                <w:sz w:val="14"/>
                <w:szCs w:val="18"/>
              </w:rPr>
            </w:pPr>
            <w:r w:rsidRPr="00E55EC0">
              <w:rPr>
                <w:rFonts w:ascii="Calibri" w:hAnsi="Calibri" w:cs="Calibri"/>
                <w:b/>
                <w:color w:val="000000"/>
                <w:sz w:val="14"/>
                <w:szCs w:val="18"/>
              </w:rPr>
              <w:t>Mixer</w:t>
            </w:r>
          </w:p>
        </w:tc>
        <w:tc>
          <w:tcPr>
            <w:tcW w:w="622" w:type="dxa"/>
            <w:tcBorders>
              <w:top w:val="single" w:sz="4" w:space="0" w:color="auto"/>
              <w:left w:val="nil"/>
              <w:bottom w:val="single" w:sz="4" w:space="0" w:color="auto"/>
              <w:right w:val="single" w:sz="4" w:space="0" w:color="auto"/>
            </w:tcBorders>
            <w:shd w:val="clear" w:color="auto" w:fill="DEEAF6"/>
            <w:vAlign w:val="bottom"/>
          </w:tcPr>
          <w:p w14:paraId="676AC34C" w14:textId="77777777" w:rsidR="00EF3C17" w:rsidRPr="00E55EC0" w:rsidRDefault="00EF3C17" w:rsidP="00B57BCA">
            <w:pPr>
              <w:jc w:val="center"/>
              <w:rPr>
                <w:rFonts w:ascii="Calibri" w:hAnsi="Calibri" w:cs="Calibri"/>
                <w:b/>
                <w:color w:val="000000"/>
                <w:sz w:val="14"/>
                <w:szCs w:val="18"/>
              </w:rPr>
            </w:pPr>
            <w:r w:rsidRPr="00E55EC0">
              <w:rPr>
                <w:rFonts w:ascii="Calibri" w:hAnsi="Calibri" w:cs="Calibri"/>
                <w:b/>
                <w:color w:val="000000"/>
                <w:sz w:val="14"/>
                <w:szCs w:val="18"/>
              </w:rPr>
              <w:t>Analog</w:t>
            </w:r>
          </w:p>
          <w:p w14:paraId="05D31F9E" w14:textId="77777777" w:rsidR="00EF3C17" w:rsidRPr="00E55EC0" w:rsidRDefault="00EF3C17" w:rsidP="00B57BCA">
            <w:pPr>
              <w:jc w:val="center"/>
              <w:rPr>
                <w:rFonts w:ascii="Calibri" w:hAnsi="Calibri" w:cs="Calibri"/>
                <w:b/>
                <w:color w:val="000000"/>
                <w:sz w:val="14"/>
                <w:szCs w:val="18"/>
              </w:rPr>
            </w:pPr>
            <w:r w:rsidRPr="00E55EC0">
              <w:rPr>
                <w:rFonts w:ascii="Calibri" w:hAnsi="Calibri" w:cs="Calibri"/>
                <w:b/>
                <w:color w:val="000000"/>
                <w:sz w:val="14"/>
                <w:szCs w:val="18"/>
              </w:rPr>
              <w:t>BB</w:t>
            </w:r>
          </w:p>
        </w:tc>
        <w:tc>
          <w:tcPr>
            <w:tcW w:w="429" w:type="dxa"/>
            <w:tcBorders>
              <w:top w:val="single" w:sz="4" w:space="0" w:color="auto"/>
              <w:left w:val="nil"/>
              <w:bottom w:val="single" w:sz="4" w:space="0" w:color="auto"/>
              <w:right w:val="single" w:sz="4" w:space="0" w:color="auto"/>
            </w:tcBorders>
            <w:shd w:val="clear" w:color="auto" w:fill="DEEAF6"/>
            <w:vAlign w:val="bottom"/>
          </w:tcPr>
          <w:p w14:paraId="0F709E2F" w14:textId="77777777" w:rsidR="00EF3C17" w:rsidRPr="00E55EC0" w:rsidRDefault="00EF3C17" w:rsidP="00B57BCA">
            <w:pPr>
              <w:jc w:val="center"/>
              <w:rPr>
                <w:rFonts w:ascii="Calibri" w:hAnsi="Calibri" w:cs="Calibri"/>
                <w:b/>
                <w:color w:val="000000"/>
                <w:sz w:val="14"/>
                <w:szCs w:val="18"/>
              </w:rPr>
            </w:pPr>
            <w:r w:rsidRPr="00E55EC0">
              <w:rPr>
                <w:rFonts w:ascii="Calibri" w:hAnsi="Calibri" w:cs="Calibri"/>
                <w:b/>
                <w:color w:val="000000"/>
                <w:sz w:val="14"/>
                <w:szCs w:val="18"/>
              </w:rPr>
              <w:t>#Rx</w:t>
            </w:r>
          </w:p>
        </w:tc>
        <w:tc>
          <w:tcPr>
            <w:tcW w:w="850" w:type="dxa"/>
            <w:tcBorders>
              <w:top w:val="single" w:sz="4" w:space="0" w:color="auto"/>
              <w:left w:val="nil"/>
              <w:bottom w:val="single" w:sz="4" w:space="0" w:color="auto"/>
              <w:right w:val="single" w:sz="4" w:space="0" w:color="auto"/>
            </w:tcBorders>
            <w:shd w:val="clear" w:color="auto" w:fill="DEEAF6"/>
            <w:vAlign w:val="bottom"/>
          </w:tcPr>
          <w:p w14:paraId="6E7123E0" w14:textId="77777777" w:rsidR="00EF3C17" w:rsidRPr="00E55EC0" w:rsidRDefault="00EF3C17" w:rsidP="00B57BCA">
            <w:pPr>
              <w:rPr>
                <w:rFonts w:ascii="Calibri" w:hAnsi="Calibri" w:cs="Calibri"/>
                <w:b/>
                <w:color w:val="000000"/>
                <w:sz w:val="14"/>
                <w:szCs w:val="18"/>
              </w:rPr>
            </w:pPr>
            <w:r w:rsidRPr="00E55EC0">
              <w:rPr>
                <w:rFonts w:ascii="Calibri" w:hAnsi="Calibri" w:cs="Calibri"/>
                <w:b/>
                <w:color w:val="000000"/>
                <w:sz w:val="14"/>
                <w:szCs w:val="18"/>
              </w:rPr>
              <w:t>Frequency</w:t>
            </w:r>
          </w:p>
          <w:p w14:paraId="057A2810" w14:textId="77777777" w:rsidR="00EF3C17" w:rsidRPr="00E55EC0" w:rsidRDefault="00EF3C17" w:rsidP="00B57BCA">
            <w:pPr>
              <w:rPr>
                <w:rFonts w:ascii="Calibri" w:hAnsi="Calibri" w:cs="Calibri"/>
                <w:b/>
                <w:color w:val="000000"/>
                <w:sz w:val="14"/>
                <w:szCs w:val="18"/>
              </w:rPr>
            </w:pPr>
            <w:r w:rsidRPr="00E55EC0">
              <w:rPr>
                <w:rFonts w:ascii="Calibri" w:hAnsi="Calibri" w:cs="Calibri"/>
                <w:b/>
                <w:color w:val="000000"/>
                <w:sz w:val="14"/>
                <w:szCs w:val="18"/>
              </w:rPr>
              <w:t>Separation</w:t>
            </w:r>
          </w:p>
          <w:p w14:paraId="3A5F9FA4" w14:textId="77777777" w:rsidR="00EF3C17" w:rsidRPr="00E55EC0" w:rsidRDefault="00EF3C17" w:rsidP="00B57BCA">
            <w:pPr>
              <w:rPr>
                <w:rFonts w:ascii="Calibri" w:hAnsi="Calibri" w:cs="Calibri"/>
                <w:b/>
                <w:color w:val="000000"/>
                <w:sz w:val="14"/>
                <w:szCs w:val="18"/>
              </w:rPr>
            </w:pPr>
            <w:r w:rsidRPr="00E55EC0">
              <w:rPr>
                <w:rFonts w:ascii="Calibri" w:hAnsi="Calibri" w:cs="Calibri"/>
                <w:b/>
                <w:color w:val="000000"/>
                <w:sz w:val="14"/>
                <w:szCs w:val="18"/>
              </w:rPr>
              <w:t>between 2cc</w:t>
            </w:r>
          </w:p>
        </w:tc>
        <w:tc>
          <w:tcPr>
            <w:tcW w:w="929" w:type="dxa"/>
            <w:tcBorders>
              <w:top w:val="single" w:sz="4" w:space="0" w:color="auto"/>
              <w:left w:val="single" w:sz="4" w:space="0" w:color="auto"/>
              <w:bottom w:val="single" w:sz="4" w:space="0" w:color="auto"/>
              <w:right w:val="single" w:sz="4" w:space="0" w:color="auto"/>
            </w:tcBorders>
            <w:shd w:val="clear" w:color="auto" w:fill="DEEAF6"/>
          </w:tcPr>
          <w:p w14:paraId="017C2867" w14:textId="77777777" w:rsidR="00EF3C17" w:rsidRPr="00E55EC0" w:rsidRDefault="00EF3C17" w:rsidP="00B57BCA">
            <w:pPr>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NRCA/EN</w:t>
            </w:r>
            <w:r w:rsidRPr="00E55EC0">
              <w:rPr>
                <w:rFonts w:ascii="Calibri" w:eastAsia="Yu Mincho" w:hAnsi="Calibri" w:cs="Calibri"/>
                <w:b/>
                <w:color w:val="000000"/>
                <w:sz w:val="14"/>
                <w:szCs w:val="18"/>
                <w:lang w:eastAsia="ja-JP"/>
              </w:rPr>
              <w:t>DC</w:t>
            </w:r>
          </w:p>
        </w:tc>
        <w:tc>
          <w:tcPr>
            <w:tcW w:w="1237" w:type="dxa"/>
            <w:tcBorders>
              <w:top w:val="single" w:sz="4" w:space="0" w:color="auto"/>
              <w:left w:val="single" w:sz="4" w:space="0" w:color="auto"/>
              <w:bottom w:val="single" w:sz="4" w:space="0" w:color="auto"/>
              <w:right w:val="single" w:sz="4" w:space="0" w:color="auto"/>
            </w:tcBorders>
            <w:shd w:val="clear" w:color="auto" w:fill="DEEAF6"/>
            <w:vAlign w:val="bottom"/>
          </w:tcPr>
          <w:p w14:paraId="1326B862" w14:textId="77777777" w:rsidR="00EF3C17" w:rsidRPr="00E55EC0" w:rsidRDefault="00EF3C17" w:rsidP="00B57BCA">
            <w:pPr>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p</w:t>
            </w:r>
            <w:r w:rsidRPr="00E55EC0">
              <w:rPr>
                <w:rFonts w:ascii="Calibri" w:eastAsia="Yu Mincho" w:hAnsi="Calibri" w:cs="Calibri"/>
                <w:b/>
                <w:color w:val="000000"/>
                <w:sz w:val="14"/>
                <w:szCs w:val="18"/>
                <w:lang w:eastAsia="ja-JP"/>
              </w:rPr>
              <w:t>ower</w:t>
            </w:r>
          </w:p>
          <w:p w14:paraId="4F7C4D96" w14:textId="77777777" w:rsidR="00EF3C17" w:rsidRPr="00E55EC0" w:rsidRDefault="00EF3C17" w:rsidP="00B57BCA">
            <w:pPr>
              <w:rPr>
                <w:rFonts w:ascii="Calibri" w:hAnsi="Calibri" w:cs="Calibri"/>
                <w:b/>
                <w:color w:val="000000"/>
                <w:sz w:val="14"/>
                <w:szCs w:val="18"/>
              </w:rPr>
            </w:pPr>
            <w:r w:rsidRPr="00E55EC0">
              <w:rPr>
                <w:rFonts w:ascii="Calibri" w:hAnsi="Calibri" w:cs="Calibri"/>
                <w:b/>
                <w:color w:val="000000"/>
                <w:sz w:val="14"/>
                <w:szCs w:val="18"/>
              </w:rPr>
              <w:t>imbalance</w:t>
            </w:r>
          </w:p>
        </w:tc>
        <w:tc>
          <w:tcPr>
            <w:tcW w:w="2136" w:type="dxa"/>
            <w:tcBorders>
              <w:top w:val="single" w:sz="4" w:space="0" w:color="auto"/>
              <w:left w:val="nil"/>
              <w:bottom w:val="single" w:sz="4" w:space="0" w:color="auto"/>
              <w:right w:val="single" w:sz="4" w:space="0" w:color="auto"/>
            </w:tcBorders>
            <w:shd w:val="clear" w:color="auto" w:fill="DEEAF6"/>
            <w:noWrap/>
            <w:vAlign w:val="bottom"/>
          </w:tcPr>
          <w:p w14:paraId="6EB94B7E" w14:textId="77777777" w:rsidR="00EF3C17" w:rsidRPr="00E55EC0" w:rsidRDefault="00EF3C17" w:rsidP="00B57BCA">
            <w:pPr>
              <w:rPr>
                <w:rFonts w:ascii="Calibri" w:hAnsi="Calibri" w:cs="Calibri"/>
                <w:b/>
                <w:color w:val="000000"/>
                <w:sz w:val="14"/>
                <w:szCs w:val="18"/>
              </w:rPr>
            </w:pPr>
            <w:r w:rsidRPr="00E55EC0">
              <w:rPr>
                <w:rFonts w:ascii="Calibri" w:hAnsi="Calibri" w:cs="Calibri"/>
                <w:b/>
                <w:color w:val="000000"/>
                <w:sz w:val="14"/>
                <w:szCs w:val="18"/>
              </w:rPr>
              <w:t>comment</w:t>
            </w:r>
          </w:p>
        </w:tc>
      </w:tr>
      <w:tr w:rsidR="00EF3C17" w:rsidRPr="00E55EC0" w14:paraId="4EAC9630" w14:textId="77777777" w:rsidTr="002173FA">
        <w:trPr>
          <w:trHeight w:val="70"/>
          <w:jc w:val="center"/>
        </w:trPr>
        <w:tc>
          <w:tcPr>
            <w:tcW w:w="498" w:type="dxa"/>
            <w:vMerge w:val="restart"/>
            <w:tcBorders>
              <w:top w:val="nil"/>
              <w:left w:val="single" w:sz="4" w:space="0" w:color="auto"/>
              <w:right w:val="single" w:sz="4" w:space="0" w:color="auto"/>
            </w:tcBorders>
            <w:shd w:val="clear" w:color="auto" w:fill="BFBFBF"/>
          </w:tcPr>
          <w:p w14:paraId="61195339" w14:textId="77777777" w:rsidR="00EF3C17" w:rsidRPr="00E55EC0" w:rsidRDefault="00EF3C17" w:rsidP="00B57BCA">
            <w:pPr>
              <w:jc w:val="center"/>
              <w:rPr>
                <w:rFonts w:ascii="Calibri" w:hAnsi="Calibri" w:cs="Calibri"/>
                <w:b/>
                <w:bCs/>
                <w:color w:val="000000"/>
                <w:sz w:val="14"/>
                <w:szCs w:val="18"/>
              </w:rPr>
            </w:pPr>
            <w:r w:rsidRPr="00E55EC0">
              <w:rPr>
                <w:rFonts w:ascii="Calibri" w:hAnsi="Calibri" w:cs="Calibri"/>
                <w:b/>
                <w:bCs/>
                <w:color w:val="000000"/>
                <w:sz w:val="14"/>
                <w:szCs w:val="18"/>
              </w:rPr>
              <w:t>1</w:t>
            </w:r>
          </w:p>
        </w:tc>
        <w:tc>
          <w:tcPr>
            <w:tcW w:w="528" w:type="dxa"/>
            <w:tcBorders>
              <w:top w:val="nil"/>
              <w:left w:val="nil"/>
              <w:bottom w:val="single" w:sz="4" w:space="0" w:color="auto"/>
              <w:right w:val="single" w:sz="4" w:space="0" w:color="auto"/>
            </w:tcBorders>
            <w:shd w:val="clear" w:color="auto" w:fill="BFBFBF"/>
            <w:noWrap/>
            <w:vAlign w:val="bottom"/>
          </w:tcPr>
          <w:p w14:paraId="239AAE3D"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1</w:t>
            </w:r>
          </w:p>
        </w:tc>
        <w:tc>
          <w:tcPr>
            <w:tcW w:w="878" w:type="dxa"/>
            <w:gridSpan w:val="2"/>
            <w:vMerge w:val="restart"/>
            <w:tcBorders>
              <w:top w:val="nil"/>
              <w:left w:val="single" w:sz="4" w:space="0" w:color="auto"/>
              <w:bottom w:val="single" w:sz="4" w:space="0" w:color="auto"/>
              <w:right w:val="single" w:sz="4" w:space="0" w:color="auto"/>
            </w:tcBorders>
            <w:shd w:val="clear" w:color="auto" w:fill="BFBFBF"/>
            <w:vAlign w:val="bottom"/>
          </w:tcPr>
          <w:p w14:paraId="001B2FA8"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vMerge w:val="restart"/>
            <w:tcBorders>
              <w:top w:val="nil"/>
              <w:left w:val="single" w:sz="4" w:space="0" w:color="auto"/>
              <w:bottom w:val="single" w:sz="4" w:space="0" w:color="auto"/>
              <w:right w:val="single" w:sz="4" w:space="0" w:color="auto"/>
            </w:tcBorders>
            <w:shd w:val="clear" w:color="auto" w:fill="BFBFBF"/>
            <w:vAlign w:val="bottom"/>
          </w:tcPr>
          <w:p w14:paraId="2DFFFD2D"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22" w:type="dxa"/>
            <w:vMerge w:val="restart"/>
            <w:tcBorders>
              <w:top w:val="nil"/>
              <w:left w:val="single" w:sz="4" w:space="0" w:color="auto"/>
              <w:bottom w:val="single" w:sz="4" w:space="0" w:color="auto"/>
              <w:right w:val="single" w:sz="4" w:space="0" w:color="auto"/>
            </w:tcBorders>
            <w:shd w:val="clear" w:color="auto" w:fill="BFBFBF"/>
            <w:vAlign w:val="bottom"/>
          </w:tcPr>
          <w:p w14:paraId="50A06337"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429" w:type="dxa"/>
            <w:tcBorders>
              <w:top w:val="nil"/>
              <w:left w:val="nil"/>
              <w:bottom w:val="single" w:sz="4" w:space="0" w:color="auto"/>
              <w:right w:val="single" w:sz="4" w:space="0" w:color="auto"/>
            </w:tcBorders>
            <w:shd w:val="clear" w:color="auto" w:fill="BFBFBF"/>
            <w:noWrap/>
            <w:vAlign w:val="bottom"/>
          </w:tcPr>
          <w:p w14:paraId="340B223A"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4Rx</w:t>
            </w:r>
          </w:p>
        </w:tc>
        <w:tc>
          <w:tcPr>
            <w:tcW w:w="850" w:type="dxa"/>
            <w:vMerge w:val="restart"/>
            <w:tcBorders>
              <w:top w:val="nil"/>
              <w:left w:val="single" w:sz="4" w:space="0" w:color="auto"/>
              <w:right w:val="single" w:sz="4" w:space="0" w:color="auto"/>
            </w:tcBorders>
            <w:shd w:val="clear" w:color="auto" w:fill="BFBFBF"/>
            <w:vAlign w:val="bottom"/>
          </w:tcPr>
          <w:p w14:paraId="2A2CDE78" w14:textId="77777777" w:rsidR="00EF3C17" w:rsidRPr="00E55EC0" w:rsidRDefault="00EF3C17" w:rsidP="00B57BCA">
            <w:pPr>
              <w:jc w:val="center"/>
              <w:textAlignment w:val="bottom"/>
              <w:rPr>
                <w:rFonts w:ascii="Calibri" w:eastAsia="Yu Mincho" w:hAnsi="Calibri" w:cs="Calibri"/>
                <w:sz w:val="12"/>
                <w:szCs w:val="13"/>
                <w:lang w:eastAsia="ja-JP"/>
              </w:rPr>
            </w:pPr>
            <w:r w:rsidRPr="00E55EC0">
              <w:rPr>
                <w:rFonts w:ascii="Calibri" w:hAnsi="Calibri" w:cs="Calibri"/>
                <w:color w:val="000000"/>
                <w:sz w:val="14"/>
                <w:szCs w:val="18"/>
              </w:rPr>
              <w:t>≤ X MHz</w:t>
            </w:r>
          </w:p>
        </w:tc>
        <w:tc>
          <w:tcPr>
            <w:tcW w:w="929" w:type="dxa"/>
            <w:vMerge w:val="restart"/>
            <w:tcBorders>
              <w:top w:val="nil"/>
              <w:left w:val="single" w:sz="4" w:space="0" w:color="auto"/>
              <w:right w:val="single" w:sz="4" w:space="0" w:color="auto"/>
            </w:tcBorders>
            <w:shd w:val="clear" w:color="auto" w:fill="BFBFBF"/>
          </w:tcPr>
          <w:p w14:paraId="165F5B71" w14:textId="49D50B4C" w:rsidR="00EF3C17" w:rsidRPr="00E55EC0" w:rsidRDefault="00EF3C17" w:rsidP="00B57BCA">
            <w:pPr>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002173FA">
              <w:rPr>
                <w:rFonts w:ascii="Calibri" w:eastAsia="Yu Mincho" w:hAnsi="Calibri" w:cs="Calibri"/>
                <w:color w:val="000000"/>
                <w:sz w:val="14"/>
                <w:szCs w:val="18"/>
                <w:lang w:eastAsia="ja-JP"/>
              </w:rPr>
              <w:t xml:space="preserve"> </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1237" w:type="dxa"/>
            <w:vMerge w:val="restart"/>
            <w:tcBorders>
              <w:top w:val="nil"/>
              <w:left w:val="single" w:sz="4" w:space="0" w:color="auto"/>
              <w:bottom w:val="single" w:sz="4" w:space="0" w:color="auto"/>
              <w:right w:val="single" w:sz="4" w:space="0" w:color="auto"/>
            </w:tcBorders>
            <w:shd w:val="clear" w:color="auto" w:fill="BFBFBF"/>
            <w:noWrap/>
            <w:vAlign w:val="bottom"/>
          </w:tcPr>
          <w:p w14:paraId="6343BA37"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6dB</w:t>
            </w:r>
            <w:r w:rsidRPr="00E55EC0">
              <w:rPr>
                <w:rFonts w:ascii="Calibri" w:hAnsi="Calibri" w:cs="Calibri"/>
                <w:color w:val="000000"/>
                <w:sz w:val="14"/>
                <w:szCs w:val="18"/>
              </w:rPr>
              <w:br/>
              <w:t>full range</w:t>
            </w:r>
          </w:p>
        </w:tc>
        <w:tc>
          <w:tcPr>
            <w:tcW w:w="2136" w:type="dxa"/>
            <w:vMerge w:val="restart"/>
            <w:tcBorders>
              <w:top w:val="nil"/>
              <w:left w:val="single" w:sz="4" w:space="0" w:color="auto"/>
              <w:bottom w:val="single" w:sz="4" w:space="0" w:color="auto"/>
              <w:right w:val="single" w:sz="4" w:space="0" w:color="auto"/>
            </w:tcBorders>
            <w:shd w:val="clear" w:color="auto" w:fill="BFBFBF"/>
            <w:vAlign w:val="bottom"/>
          </w:tcPr>
          <w:p w14:paraId="384BCAB7" w14:textId="77777777" w:rsidR="00EF3C17" w:rsidRPr="00E55EC0" w:rsidRDefault="00EF3C17" w:rsidP="00B57BCA">
            <w:pPr>
              <w:rPr>
                <w:rFonts w:ascii="Calibri" w:hAnsi="Calibri" w:cs="Calibri"/>
                <w:color w:val="000000"/>
                <w:sz w:val="14"/>
                <w:szCs w:val="18"/>
              </w:rPr>
            </w:pPr>
            <w:r w:rsidRPr="00E55EC0">
              <w:rPr>
                <w:rFonts w:ascii="Calibri" w:hAnsi="Calibri" w:cs="Calibri"/>
                <w:color w:val="000000"/>
                <w:sz w:val="14"/>
                <w:szCs w:val="18"/>
              </w:rPr>
              <w:t>Baseline architecture (</w:t>
            </w:r>
            <w:proofErr w:type="gramStart"/>
            <w:r w:rsidRPr="00E55EC0">
              <w:rPr>
                <w:rFonts w:ascii="Calibri" w:hAnsi="Calibri" w:cs="Calibri"/>
                <w:color w:val="000000"/>
                <w:sz w:val="14"/>
                <w:szCs w:val="18"/>
              </w:rPr>
              <w:t>i.e.</w:t>
            </w:r>
            <w:proofErr w:type="gramEnd"/>
            <w:r w:rsidRPr="00E55EC0">
              <w:rPr>
                <w:rFonts w:ascii="Calibri" w:hAnsi="Calibri" w:cs="Calibri"/>
                <w:color w:val="000000"/>
                <w:sz w:val="14"/>
                <w:szCs w:val="18"/>
              </w:rPr>
              <w:t xml:space="preserve"> legacy architecture)</w:t>
            </w:r>
          </w:p>
        </w:tc>
      </w:tr>
      <w:tr w:rsidR="00EF3C17" w:rsidRPr="00E55EC0" w14:paraId="3E3F33DA" w14:textId="77777777" w:rsidTr="002173FA">
        <w:trPr>
          <w:trHeight w:val="70"/>
          <w:jc w:val="center"/>
        </w:trPr>
        <w:tc>
          <w:tcPr>
            <w:tcW w:w="498" w:type="dxa"/>
            <w:vMerge/>
            <w:tcBorders>
              <w:left w:val="single" w:sz="4" w:space="0" w:color="auto"/>
              <w:bottom w:val="single" w:sz="4" w:space="0" w:color="auto"/>
              <w:right w:val="single" w:sz="4" w:space="0" w:color="auto"/>
            </w:tcBorders>
            <w:shd w:val="clear" w:color="auto" w:fill="BFBFBF"/>
          </w:tcPr>
          <w:p w14:paraId="4E0A82C2" w14:textId="77777777" w:rsidR="00EF3C17" w:rsidRPr="00E55EC0" w:rsidRDefault="00EF3C17" w:rsidP="00B57BCA">
            <w:pPr>
              <w:rPr>
                <w:rFonts w:ascii="Calibri" w:hAnsi="Calibri" w:cs="Calibri"/>
                <w:color w:val="000000"/>
                <w:sz w:val="14"/>
                <w:szCs w:val="18"/>
              </w:rPr>
            </w:pPr>
          </w:p>
        </w:tc>
        <w:tc>
          <w:tcPr>
            <w:tcW w:w="528" w:type="dxa"/>
            <w:tcBorders>
              <w:top w:val="nil"/>
              <w:left w:val="nil"/>
              <w:bottom w:val="single" w:sz="4" w:space="0" w:color="auto"/>
              <w:right w:val="single" w:sz="4" w:space="0" w:color="auto"/>
            </w:tcBorders>
            <w:shd w:val="clear" w:color="auto" w:fill="BFBFBF"/>
            <w:noWrap/>
            <w:vAlign w:val="bottom"/>
          </w:tcPr>
          <w:p w14:paraId="044725B8"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878" w:type="dxa"/>
            <w:gridSpan w:val="2"/>
            <w:vMerge/>
            <w:tcBorders>
              <w:top w:val="nil"/>
              <w:left w:val="single" w:sz="4" w:space="0" w:color="auto"/>
              <w:bottom w:val="single" w:sz="4" w:space="0" w:color="auto"/>
              <w:right w:val="single" w:sz="4" w:space="0" w:color="auto"/>
            </w:tcBorders>
            <w:shd w:val="clear" w:color="auto" w:fill="BFBFBF"/>
            <w:vAlign w:val="center"/>
          </w:tcPr>
          <w:p w14:paraId="387EC422" w14:textId="77777777" w:rsidR="00EF3C17" w:rsidRPr="00E55EC0" w:rsidRDefault="00EF3C17" w:rsidP="00B57BCA">
            <w:pPr>
              <w:rPr>
                <w:rFonts w:ascii="Calibri" w:hAnsi="Calibri" w:cs="Calibri"/>
                <w:color w:val="000000"/>
                <w:sz w:val="14"/>
                <w:szCs w:val="18"/>
              </w:rPr>
            </w:pPr>
          </w:p>
        </w:tc>
        <w:tc>
          <w:tcPr>
            <w:tcW w:w="604" w:type="dxa"/>
            <w:vMerge/>
            <w:tcBorders>
              <w:top w:val="nil"/>
              <w:left w:val="single" w:sz="4" w:space="0" w:color="auto"/>
              <w:bottom w:val="single" w:sz="4" w:space="0" w:color="auto"/>
              <w:right w:val="single" w:sz="4" w:space="0" w:color="auto"/>
            </w:tcBorders>
            <w:shd w:val="clear" w:color="auto" w:fill="BFBFBF"/>
            <w:vAlign w:val="center"/>
          </w:tcPr>
          <w:p w14:paraId="72372058" w14:textId="77777777" w:rsidR="00EF3C17" w:rsidRPr="00E55EC0" w:rsidRDefault="00EF3C17" w:rsidP="00B57BCA">
            <w:pPr>
              <w:rPr>
                <w:rFonts w:ascii="Calibri" w:hAnsi="Calibri" w:cs="Calibri"/>
                <w:color w:val="000000"/>
                <w:sz w:val="14"/>
                <w:szCs w:val="18"/>
              </w:rPr>
            </w:pPr>
          </w:p>
        </w:tc>
        <w:tc>
          <w:tcPr>
            <w:tcW w:w="622" w:type="dxa"/>
            <w:vMerge/>
            <w:tcBorders>
              <w:top w:val="nil"/>
              <w:left w:val="single" w:sz="4" w:space="0" w:color="auto"/>
              <w:bottom w:val="single" w:sz="4" w:space="0" w:color="auto"/>
              <w:right w:val="single" w:sz="4" w:space="0" w:color="auto"/>
            </w:tcBorders>
            <w:shd w:val="clear" w:color="auto" w:fill="BFBFBF"/>
            <w:vAlign w:val="center"/>
          </w:tcPr>
          <w:p w14:paraId="47E0C18F" w14:textId="77777777" w:rsidR="00EF3C17" w:rsidRPr="00E55EC0" w:rsidRDefault="00EF3C17" w:rsidP="00B57BCA">
            <w:pPr>
              <w:rPr>
                <w:rFonts w:ascii="Calibri" w:hAnsi="Calibri" w:cs="Calibri"/>
                <w:color w:val="000000"/>
                <w:sz w:val="14"/>
                <w:szCs w:val="18"/>
              </w:rPr>
            </w:pPr>
          </w:p>
        </w:tc>
        <w:tc>
          <w:tcPr>
            <w:tcW w:w="429" w:type="dxa"/>
            <w:tcBorders>
              <w:top w:val="nil"/>
              <w:left w:val="nil"/>
              <w:bottom w:val="single" w:sz="4" w:space="0" w:color="auto"/>
              <w:right w:val="single" w:sz="4" w:space="0" w:color="auto"/>
            </w:tcBorders>
            <w:shd w:val="clear" w:color="auto" w:fill="BFBFBF"/>
            <w:noWrap/>
            <w:vAlign w:val="bottom"/>
          </w:tcPr>
          <w:p w14:paraId="146E72E1"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4Rx</w:t>
            </w:r>
          </w:p>
        </w:tc>
        <w:tc>
          <w:tcPr>
            <w:tcW w:w="850" w:type="dxa"/>
            <w:vMerge/>
            <w:tcBorders>
              <w:left w:val="single" w:sz="4" w:space="0" w:color="auto"/>
              <w:bottom w:val="single" w:sz="4" w:space="0" w:color="auto"/>
              <w:right w:val="single" w:sz="4" w:space="0" w:color="auto"/>
            </w:tcBorders>
            <w:shd w:val="clear" w:color="auto" w:fill="BFBFBF"/>
            <w:vAlign w:val="center"/>
          </w:tcPr>
          <w:p w14:paraId="6C39D2BD" w14:textId="77777777" w:rsidR="00EF3C17" w:rsidRPr="00E55EC0" w:rsidRDefault="00EF3C17" w:rsidP="00B57BCA">
            <w:pPr>
              <w:rPr>
                <w:rFonts w:ascii="Calibri" w:hAnsi="Calibri" w:cs="Calibri"/>
                <w:color w:val="000000"/>
                <w:sz w:val="14"/>
                <w:szCs w:val="18"/>
              </w:rPr>
            </w:pPr>
          </w:p>
        </w:tc>
        <w:tc>
          <w:tcPr>
            <w:tcW w:w="929" w:type="dxa"/>
            <w:vMerge/>
            <w:tcBorders>
              <w:left w:val="single" w:sz="4" w:space="0" w:color="auto"/>
              <w:bottom w:val="single" w:sz="4" w:space="0" w:color="auto"/>
              <w:right w:val="single" w:sz="4" w:space="0" w:color="auto"/>
            </w:tcBorders>
            <w:shd w:val="clear" w:color="auto" w:fill="BFBFBF"/>
          </w:tcPr>
          <w:p w14:paraId="015694ED" w14:textId="77777777" w:rsidR="00EF3C17" w:rsidRPr="00E55EC0" w:rsidRDefault="00EF3C17" w:rsidP="00B57BCA">
            <w:pPr>
              <w:rPr>
                <w:rFonts w:ascii="Calibri" w:eastAsia="Yu Mincho" w:hAnsi="Calibri" w:cs="Calibri"/>
                <w:color w:val="000000"/>
                <w:sz w:val="14"/>
                <w:szCs w:val="18"/>
                <w:lang w:eastAsia="ja-JP"/>
              </w:rPr>
            </w:pPr>
          </w:p>
        </w:tc>
        <w:tc>
          <w:tcPr>
            <w:tcW w:w="1237" w:type="dxa"/>
            <w:vMerge/>
            <w:tcBorders>
              <w:top w:val="nil"/>
              <w:left w:val="single" w:sz="4" w:space="0" w:color="auto"/>
              <w:bottom w:val="single" w:sz="4" w:space="0" w:color="auto"/>
              <w:right w:val="single" w:sz="4" w:space="0" w:color="auto"/>
            </w:tcBorders>
            <w:shd w:val="clear" w:color="auto" w:fill="BFBFBF"/>
            <w:vAlign w:val="center"/>
          </w:tcPr>
          <w:p w14:paraId="719BE9BD" w14:textId="77777777" w:rsidR="00EF3C17" w:rsidRPr="00E55EC0" w:rsidRDefault="00EF3C17" w:rsidP="00B57BCA">
            <w:pPr>
              <w:rPr>
                <w:rFonts w:ascii="Calibri" w:hAnsi="Calibri" w:cs="Calibri"/>
                <w:color w:val="000000"/>
                <w:sz w:val="14"/>
                <w:szCs w:val="18"/>
              </w:rPr>
            </w:pPr>
          </w:p>
        </w:tc>
        <w:tc>
          <w:tcPr>
            <w:tcW w:w="2136" w:type="dxa"/>
            <w:vMerge/>
            <w:tcBorders>
              <w:top w:val="nil"/>
              <w:left w:val="single" w:sz="4" w:space="0" w:color="auto"/>
              <w:bottom w:val="single" w:sz="4" w:space="0" w:color="auto"/>
              <w:right w:val="single" w:sz="4" w:space="0" w:color="auto"/>
            </w:tcBorders>
            <w:shd w:val="clear" w:color="auto" w:fill="BFBFBF"/>
            <w:vAlign w:val="center"/>
          </w:tcPr>
          <w:p w14:paraId="0562E6DC" w14:textId="77777777" w:rsidR="00EF3C17" w:rsidRPr="00E55EC0" w:rsidRDefault="00EF3C17" w:rsidP="00B57BCA">
            <w:pPr>
              <w:rPr>
                <w:rFonts w:ascii="Calibri" w:hAnsi="Calibri" w:cs="Calibri"/>
                <w:color w:val="000000"/>
                <w:sz w:val="14"/>
                <w:szCs w:val="18"/>
              </w:rPr>
            </w:pPr>
          </w:p>
        </w:tc>
      </w:tr>
      <w:tr w:rsidR="00EF3C17" w:rsidRPr="00E55EC0" w14:paraId="560056DC" w14:textId="77777777" w:rsidTr="002173FA">
        <w:trPr>
          <w:trHeight w:val="70"/>
          <w:jc w:val="center"/>
        </w:trPr>
        <w:tc>
          <w:tcPr>
            <w:tcW w:w="498" w:type="dxa"/>
            <w:vMerge w:val="restart"/>
            <w:tcBorders>
              <w:top w:val="nil"/>
              <w:left w:val="single" w:sz="4" w:space="0" w:color="auto"/>
              <w:right w:val="single" w:sz="4" w:space="0" w:color="auto"/>
            </w:tcBorders>
            <w:shd w:val="clear" w:color="auto" w:fill="BFBFBF"/>
          </w:tcPr>
          <w:p w14:paraId="19B5194D" w14:textId="77777777" w:rsidR="00EF3C17" w:rsidRPr="00E55EC0" w:rsidRDefault="00EF3C17" w:rsidP="00B57BCA">
            <w:pPr>
              <w:jc w:val="center"/>
              <w:rPr>
                <w:rFonts w:ascii="Calibri" w:hAnsi="Calibri" w:cs="Calibri"/>
                <w:b/>
                <w:bCs/>
                <w:color w:val="000000"/>
                <w:sz w:val="14"/>
                <w:szCs w:val="18"/>
              </w:rPr>
            </w:pPr>
            <w:r w:rsidRPr="00E55EC0">
              <w:rPr>
                <w:rFonts w:ascii="Calibri" w:hAnsi="Calibri" w:cs="Calibri"/>
                <w:b/>
                <w:bCs/>
                <w:color w:val="000000"/>
                <w:sz w:val="14"/>
                <w:szCs w:val="18"/>
              </w:rPr>
              <w:t>2</w:t>
            </w:r>
          </w:p>
        </w:tc>
        <w:tc>
          <w:tcPr>
            <w:tcW w:w="528" w:type="dxa"/>
            <w:tcBorders>
              <w:top w:val="nil"/>
              <w:left w:val="nil"/>
              <w:bottom w:val="single" w:sz="4" w:space="0" w:color="auto"/>
              <w:right w:val="single" w:sz="4" w:space="0" w:color="auto"/>
            </w:tcBorders>
            <w:shd w:val="clear" w:color="auto" w:fill="BFBFBF"/>
            <w:noWrap/>
            <w:vAlign w:val="bottom"/>
          </w:tcPr>
          <w:p w14:paraId="5398500D"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1</w:t>
            </w:r>
          </w:p>
        </w:tc>
        <w:tc>
          <w:tcPr>
            <w:tcW w:w="395" w:type="dxa"/>
            <w:tcBorders>
              <w:top w:val="nil"/>
              <w:left w:val="nil"/>
              <w:bottom w:val="single" w:sz="4" w:space="0" w:color="auto"/>
              <w:right w:val="single" w:sz="4" w:space="0" w:color="auto"/>
            </w:tcBorders>
            <w:shd w:val="clear" w:color="auto" w:fill="BFBFBF"/>
            <w:noWrap/>
            <w:vAlign w:val="bottom"/>
          </w:tcPr>
          <w:p w14:paraId="1543DB97"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val="restart"/>
            <w:tcBorders>
              <w:top w:val="nil"/>
              <w:left w:val="nil"/>
              <w:right w:val="single" w:sz="4" w:space="0" w:color="auto"/>
            </w:tcBorders>
            <w:shd w:val="clear" w:color="auto" w:fill="BFBFBF"/>
            <w:vAlign w:val="bottom"/>
          </w:tcPr>
          <w:p w14:paraId="674BF3AA" w14:textId="77777777" w:rsidR="00EF3C17" w:rsidRPr="00E55EC0" w:rsidRDefault="00EF3C17" w:rsidP="00B57BCA">
            <w:pPr>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4</w:t>
            </w:r>
          </w:p>
          <w:p w14:paraId="67CFA95B" w14:textId="77777777" w:rsidR="00EF3C17" w:rsidRPr="00E55EC0" w:rsidRDefault="00EF3C17" w:rsidP="00B57BCA">
            <w:pPr>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BFBFBF"/>
            <w:noWrap/>
            <w:vAlign w:val="bottom"/>
          </w:tcPr>
          <w:p w14:paraId="24A0F7C7"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4E4E6076"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2FD78089"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2Rx</w:t>
            </w:r>
          </w:p>
        </w:tc>
        <w:tc>
          <w:tcPr>
            <w:tcW w:w="850" w:type="dxa"/>
            <w:vMerge w:val="restart"/>
            <w:tcBorders>
              <w:top w:val="nil"/>
              <w:left w:val="single" w:sz="4" w:space="0" w:color="auto"/>
              <w:right w:val="single" w:sz="4" w:space="0" w:color="auto"/>
            </w:tcBorders>
            <w:shd w:val="clear" w:color="auto" w:fill="BFBFBF"/>
            <w:vAlign w:val="bottom"/>
          </w:tcPr>
          <w:p w14:paraId="796AD04C"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929" w:type="dxa"/>
            <w:vMerge w:val="restart"/>
            <w:tcBorders>
              <w:top w:val="nil"/>
              <w:left w:val="single" w:sz="4" w:space="0" w:color="auto"/>
              <w:right w:val="single" w:sz="4" w:space="0" w:color="auto"/>
            </w:tcBorders>
            <w:shd w:val="clear" w:color="auto" w:fill="BFBFBF"/>
          </w:tcPr>
          <w:p w14:paraId="11C5ED39" w14:textId="0D1F5015" w:rsidR="00EF3C17" w:rsidRPr="00E55EC0" w:rsidRDefault="00EF3C17" w:rsidP="00B57BCA">
            <w:pPr>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002173FA">
              <w:rPr>
                <w:rFonts w:ascii="Calibri" w:eastAsia="Yu Mincho" w:hAnsi="Calibri" w:cs="Calibri"/>
                <w:color w:val="000000"/>
                <w:sz w:val="14"/>
                <w:szCs w:val="18"/>
                <w:lang w:eastAsia="ja-JP"/>
              </w:rPr>
              <w:t xml:space="preserve"> </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1237" w:type="dxa"/>
            <w:vMerge w:val="restart"/>
            <w:tcBorders>
              <w:top w:val="nil"/>
              <w:left w:val="single" w:sz="4" w:space="0" w:color="auto"/>
              <w:bottom w:val="single" w:sz="4" w:space="0" w:color="auto"/>
              <w:right w:val="single" w:sz="4" w:space="0" w:color="auto"/>
            </w:tcBorders>
            <w:shd w:val="clear" w:color="auto" w:fill="BFBFBF"/>
            <w:noWrap/>
            <w:vAlign w:val="bottom"/>
          </w:tcPr>
          <w:p w14:paraId="712A4FB0"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2136" w:type="dxa"/>
            <w:vMerge w:val="restart"/>
            <w:tcBorders>
              <w:top w:val="nil"/>
              <w:left w:val="single" w:sz="4" w:space="0" w:color="auto"/>
              <w:bottom w:val="single" w:sz="4" w:space="0" w:color="auto"/>
              <w:right w:val="single" w:sz="4" w:space="0" w:color="auto"/>
            </w:tcBorders>
            <w:shd w:val="clear" w:color="auto" w:fill="BFBFBF"/>
            <w:vAlign w:val="bottom"/>
          </w:tcPr>
          <w:p w14:paraId="7F4004AD" w14:textId="77777777" w:rsidR="00EF3C17" w:rsidRPr="00E55EC0" w:rsidRDefault="00EF3C17" w:rsidP="00B57BCA">
            <w:pPr>
              <w:rPr>
                <w:rFonts w:ascii="Calibri" w:hAnsi="Calibri" w:cs="Calibri"/>
                <w:color w:val="000000"/>
                <w:sz w:val="14"/>
                <w:szCs w:val="18"/>
              </w:rPr>
            </w:pPr>
            <w:r w:rsidRPr="00E55EC0">
              <w:rPr>
                <w:rFonts w:ascii="Calibri" w:hAnsi="Calibri" w:cs="Calibri"/>
                <w:color w:val="000000"/>
                <w:sz w:val="14"/>
                <w:szCs w:val="18"/>
              </w:rPr>
              <w:t>Reuse of baseline architecture restricted to 2Rx/band but need 2LO frequencies</w:t>
            </w:r>
          </w:p>
        </w:tc>
      </w:tr>
      <w:tr w:rsidR="00EF3C17" w:rsidRPr="00E55EC0" w14:paraId="12F444AB" w14:textId="77777777" w:rsidTr="002173FA">
        <w:trPr>
          <w:trHeight w:val="70"/>
          <w:jc w:val="center"/>
        </w:trPr>
        <w:tc>
          <w:tcPr>
            <w:tcW w:w="498" w:type="dxa"/>
            <w:vMerge/>
            <w:tcBorders>
              <w:left w:val="single" w:sz="4" w:space="0" w:color="auto"/>
              <w:bottom w:val="single" w:sz="4" w:space="0" w:color="auto"/>
              <w:right w:val="single" w:sz="4" w:space="0" w:color="auto"/>
            </w:tcBorders>
          </w:tcPr>
          <w:p w14:paraId="6611130E" w14:textId="77777777" w:rsidR="00EF3C17" w:rsidRPr="00E55EC0" w:rsidRDefault="00EF3C17" w:rsidP="00B57BCA">
            <w:pPr>
              <w:rPr>
                <w:rFonts w:ascii="Calibri" w:hAnsi="Calibri" w:cs="Calibri"/>
                <w:color w:val="000000"/>
                <w:sz w:val="14"/>
                <w:szCs w:val="18"/>
              </w:rPr>
            </w:pPr>
          </w:p>
        </w:tc>
        <w:tc>
          <w:tcPr>
            <w:tcW w:w="528" w:type="dxa"/>
            <w:tcBorders>
              <w:top w:val="nil"/>
              <w:left w:val="nil"/>
              <w:bottom w:val="single" w:sz="4" w:space="0" w:color="auto"/>
              <w:right w:val="single" w:sz="4" w:space="0" w:color="auto"/>
            </w:tcBorders>
            <w:shd w:val="clear" w:color="auto" w:fill="BFBFBF"/>
            <w:noWrap/>
            <w:vAlign w:val="bottom"/>
          </w:tcPr>
          <w:p w14:paraId="3814F7D2"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395" w:type="dxa"/>
            <w:tcBorders>
              <w:top w:val="nil"/>
              <w:left w:val="nil"/>
              <w:bottom w:val="single" w:sz="4" w:space="0" w:color="auto"/>
              <w:right w:val="single" w:sz="4" w:space="0" w:color="auto"/>
            </w:tcBorders>
            <w:shd w:val="clear" w:color="auto" w:fill="BFBFBF"/>
            <w:noWrap/>
            <w:vAlign w:val="bottom"/>
          </w:tcPr>
          <w:p w14:paraId="1774172C"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BFBFBF"/>
            <w:vAlign w:val="bottom"/>
          </w:tcPr>
          <w:p w14:paraId="5BA9AB54" w14:textId="77777777" w:rsidR="00EF3C17" w:rsidRPr="00E55EC0" w:rsidRDefault="00EF3C17" w:rsidP="00B57BCA">
            <w:pPr>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BFBFBF"/>
            <w:noWrap/>
            <w:vAlign w:val="bottom"/>
          </w:tcPr>
          <w:p w14:paraId="171EA623"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0DD8406B"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3C2C0916"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2Rx</w:t>
            </w:r>
          </w:p>
        </w:tc>
        <w:tc>
          <w:tcPr>
            <w:tcW w:w="850" w:type="dxa"/>
            <w:vMerge/>
            <w:tcBorders>
              <w:left w:val="single" w:sz="4" w:space="0" w:color="auto"/>
              <w:bottom w:val="single" w:sz="4" w:space="0" w:color="auto"/>
              <w:right w:val="single" w:sz="4" w:space="0" w:color="auto"/>
            </w:tcBorders>
            <w:vAlign w:val="center"/>
          </w:tcPr>
          <w:p w14:paraId="00655E06" w14:textId="77777777" w:rsidR="00EF3C17" w:rsidRPr="00E55EC0" w:rsidRDefault="00EF3C17" w:rsidP="00B57BCA">
            <w:pPr>
              <w:rPr>
                <w:rFonts w:ascii="Calibri" w:hAnsi="Calibri" w:cs="Calibri"/>
                <w:color w:val="000000"/>
                <w:sz w:val="14"/>
                <w:szCs w:val="18"/>
              </w:rPr>
            </w:pPr>
          </w:p>
        </w:tc>
        <w:tc>
          <w:tcPr>
            <w:tcW w:w="929" w:type="dxa"/>
            <w:vMerge/>
            <w:tcBorders>
              <w:left w:val="single" w:sz="4" w:space="0" w:color="auto"/>
              <w:bottom w:val="single" w:sz="4" w:space="0" w:color="auto"/>
              <w:right w:val="single" w:sz="4" w:space="0" w:color="auto"/>
            </w:tcBorders>
            <w:shd w:val="clear" w:color="auto" w:fill="BFBFBF"/>
          </w:tcPr>
          <w:p w14:paraId="4BD4B52A" w14:textId="77777777" w:rsidR="00EF3C17" w:rsidRPr="00E55EC0" w:rsidRDefault="00EF3C17" w:rsidP="00B57BCA">
            <w:pPr>
              <w:jc w:val="center"/>
              <w:rPr>
                <w:rFonts w:ascii="Calibri" w:eastAsia="Yu Mincho" w:hAnsi="Calibri" w:cs="Calibri"/>
                <w:color w:val="000000"/>
                <w:sz w:val="14"/>
                <w:szCs w:val="18"/>
                <w:lang w:eastAsia="ja-JP"/>
              </w:rPr>
            </w:pPr>
          </w:p>
        </w:tc>
        <w:tc>
          <w:tcPr>
            <w:tcW w:w="1237" w:type="dxa"/>
            <w:vMerge/>
            <w:tcBorders>
              <w:top w:val="nil"/>
              <w:left w:val="single" w:sz="4" w:space="0" w:color="auto"/>
              <w:bottom w:val="single" w:sz="4" w:space="0" w:color="auto"/>
              <w:right w:val="single" w:sz="4" w:space="0" w:color="auto"/>
            </w:tcBorders>
            <w:vAlign w:val="center"/>
          </w:tcPr>
          <w:p w14:paraId="3A36F3D0" w14:textId="77777777" w:rsidR="00EF3C17" w:rsidRPr="00E55EC0" w:rsidRDefault="00EF3C17" w:rsidP="00B57BCA">
            <w:pPr>
              <w:rPr>
                <w:rFonts w:ascii="Calibri" w:hAnsi="Calibri" w:cs="Calibri"/>
                <w:color w:val="000000"/>
                <w:sz w:val="14"/>
                <w:szCs w:val="18"/>
              </w:rPr>
            </w:pPr>
          </w:p>
        </w:tc>
        <w:tc>
          <w:tcPr>
            <w:tcW w:w="2136" w:type="dxa"/>
            <w:vMerge/>
            <w:tcBorders>
              <w:top w:val="nil"/>
              <w:left w:val="single" w:sz="4" w:space="0" w:color="auto"/>
              <w:bottom w:val="single" w:sz="4" w:space="0" w:color="auto"/>
              <w:right w:val="single" w:sz="4" w:space="0" w:color="auto"/>
            </w:tcBorders>
            <w:vAlign w:val="center"/>
          </w:tcPr>
          <w:p w14:paraId="69343579" w14:textId="77777777" w:rsidR="00EF3C17" w:rsidRPr="00E55EC0" w:rsidRDefault="00EF3C17" w:rsidP="00B57BCA">
            <w:pPr>
              <w:rPr>
                <w:rFonts w:ascii="Calibri" w:hAnsi="Calibri" w:cs="Calibri"/>
                <w:color w:val="000000"/>
                <w:sz w:val="14"/>
                <w:szCs w:val="18"/>
              </w:rPr>
            </w:pPr>
          </w:p>
        </w:tc>
      </w:tr>
      <w:bookmarkEnd w:id="2"/>
    </w:tbl>
    <w:p w14:paraId="50567691" w14:textId="7CCFA090" w:rsidR="002D22B2" w:rsidRDefault="002D22B2" w:rsidP="009F7E2A">
      <w:pPr>
        <w:spacing w:after="120"/>
        <w:rPr>
          <w:sz w:val="20"/>
          <w:szCs w:val="20"/>
        </w:rPr>
      </w:pPr>
    </w:p>
    <w:p w14:paraId="7AAB4A20" w14:textId="2E267CDF" w:rsidR="002D22B2" w:rsidRDefault="002D22B2" w:rsidP="009F7E2A">
      <w:pPr>
        <w:spacing w:after="120"/>
        <w:rPr>
          <w:sz w:val="20"/>
          <w:szCs w:val="20"/>
        </w:rPr>
      </w:pPr>
      <w:r>
        <w:rPr>
          <w:sz w:val="20"/>
          <w:szCs w:val="20"/>
        </w:rPr>
        <w:t>During the re</w:t>
      </w:r>
      <w:r>
        <w:rPr>
          <w:sz w:val="20"/>
          <w:szCs w:val="20"/>
        </w:rPr>
        <w:t xml:space="preserve">mainder of this WI, we will analyze the need for additional </w:t>
      </w:r>
      <w:r w:rsidRPr="008E7F03">
        <w:rPr>
          <w:sz w:val="20"/>
          <w:szCs w:val="20"/>
          <w:lang w:val="en-DE"/>
        </w:rPr>
        <w:t xml:space="preserve">UE demodulation requirements </w:t>
      </w:r>
      <w:r>
        <w:rPr>
          <w:sz w:val="20"/>
          <w:szCs w:val="20"/>
        </w:rPr>
        <w:t xml:space="preserve">for </w:t>
      </w:r>
      <w:r w:rsidRPr="008E7F03">
        <w:rPr>
          <w:sz w:val="20"/>
          <w:szCs w:val="20"/>
          <w:lang w:val="en-DE"/>
        </w:rPr>
        <w:t>Type</w:t>
      </w:r>
      <w:r>
        <w:rPr>
          <w:sz w:val="20"/>
          <w:szCs w:val="20"/>
        </w:rPr>
        <w:t>-</w:t>
      </w:r>
      <w:r w:rsidRPr="008E7F03">
        <w:rPr>
          <w:sz w:val="20"/>
          <w:szCs w:val="20"/>
          <w:lang w:val="en-DE"/>
        </w:rPr>
        <w:t>2 UE</w:t>
      </w:r>
      <w:r>
        <w:rPr>
          <w:sz w:val="20"/>
          <w:szCs w:val="20"/>
        </w:rPr>
        <w:t xml:space="preserve">s. Here, Type-2 UEs are </w:t>
      </w:r>
      <w:r w:rsidRPr="008E7F03">
        <w:rPr>
          <w:sz w:val="20"/>
          <w:szCs w:val="20"/>
          <w:lang w:val="en-DE"/>
        </w:rPr>
        <w:t xml:space="preserve">capable for independent RF component to receive two </w:t>
      </w:r>
      <w:r>
        <w:rPr>
          <w:sz w:val="20"/>
          <w:szCs w:val="20"/>
        </w:rPr>
        <w:t xml:space="preserve">independent component </w:t>
      </w:r>
      <w:r w:rsidRPr="008E7F03">
        <w:rPr>
          <w:sz w:val="20"/>
          <w:szCs w:val="20"/>
          <w:lang w:val="en-DE"/>
        </w:rPr>
        <w:t xml:space="preserve">carriers. </w:t>
      </w:r>
      <w:r>
        <w:rPr>
          <w:sz w:val="20"/>
          <w:szCs w:val="20"/>
        </w:rPr>
        <w:t xml:space="preserve">In this way, the test </w:t>
      </w:r>
      <w:r>
        <w:rPr>
          <w:sz w:val="20"/>
          <w:szCs w:val="20"/>
        </w:rPr>
        <w:t xml:space="preserve">can </w:t>
      </w:r>
      <w:r>
        <w:rPr>
          <w:sz w:val="20"/>
          <w:szCs w:val="20"/>
        </w:rPr>
        <w:t>fall back to a typical CA test, but now with the applicability of MRTD and Power Imbalance values that have been decided before: 33us and 25dB.</w:t>
      </w:r>
    </w:p>
    <w:p w14:paraId="07B5B6C0" w14:textId="77777777" w:rsidR="002D22B2" w:rsidRDefault="002D22B2" w:rsidP="002D22B2">
      <w:pPr>
        <w:spacing w:after="120"/>
        <w:rPr>
          <w:b/>
          <w:bCs/>
          <w:sz w:val="20"/>
          <w:szCs w:val="20"/>
          <w:lang w:val="en-GB"/>
        </w:rPr>
      </w:pPr>
      <w:r w:rsidRPr="002D22B2">
        <w:rPr>
          <w:b/>
          <w:bCs/>
          <w:sz w:val="20"/>
          <w:szCs w:val="20"/>
          <w:u w:val="single"/>
          <w:lang w:val="en-GB"/>
        </w:rPr>
        <w:t>Observation 1</w:t>
      </w:r>
      <w:r w:rsidRPr="002D22B2">
        <w:rPr>
          <w:b/>
          <w:bCs/>
          <w:sz w:val="20"/>
          <w:szCs w:val="20"/>
          <w:lang w:val="en-GB"/>
        </w:rPr>
        <w:t xml:space="preserve">: It has been agreed that for Type 2 UE, requirement will consider the maximum power imbalance of 25dB and a MRTD of </w:t>
      </w:r>
      <w:proofErr w:type="gramStart"/>
      <w:r w:rsidRPr="002D22B2">
        <w:rPr>
          <w:b/>
          <w:bCs/>
          <w:sz w:val="20"/>
          <w:szCs w:val="20"/>
          <w:lang w:val="en-GB"/>
        </w:rPr>
        <w:t>33us</w:t>
      </w:r>
      <w:proofErr w:type="gramEnd"/>
    </w:p>
    <w:p w14:paraId="035BC6EC" w14:textId="513D82C1" w:rsidR="002D22B2" w:rsidRDefault="002D22B2" w:rsidP="002D22B2">
      <w:pPr>
        <w:spacing w:after="120"/>
        <w:rPr>
          <w:sz w:val="20"/>
          <w:szCs w:val="20"/>
          <w:lang w:val="en-GB"/>
        </w:rPr>
      </w:pPr>
      <w:r w:rsidRPr="002D22B2">
        <w:rPr>
          <w:sz w:val="20"/>
          <w:szCs w:val="20"/>
          <w:lang w:val="en-GB"/>
        </w:rPr>
        <w:t xml:space="preserve">In addition, it is assumed that there is sufficient frequency separation and/or low-pass </w:t>
      </w:r>
      <w:proofErr w:type="spellStart"/>
      <w:r w:rsidRPr="002D22B2">
        <w:rPr>
          <w:sz w:val="20"/>
          <w:szCs w:val="20"/>
          <w:lang w:val="en-GB"/>
        </w:rPr>
        <w:t>filter</w:t>
      </w:r>
      <w:proofErr w:type="spellEnd"/>
      <w:r w:rsidRPr="002D22B2">
        <w:rPr>
          <w:sz w:val="20"/>
          <w:szCs w:val="20"/>
          <w:lang w:val="en-GB"/>
        </w:rPr>
        <w:t xml:space="preserve"> rejection after LO. This means that little to no cross-carrier interference is expected.</w:t>
      </w:r>
      <w:r>
        <w:rPr>
          <w:sz w:val="20"/>
          <w:szCs w:val="20"/>
          <w:lang w:val="en-GB"/>
        </w:rPr>
        <w:t xml:space="preserve"> As of now, this feature is intended to work on Japanese markets, where according to their spectrum allocation, a minimum frequency separation between component carriers (CCs) is expected to be of at least </w:t>
      </w:r>
      <w:r w:rsidRPr="002D22B2">
        <w:rPr>
          <w:sz w:val="20"/>
          <w:szCs w:val="20"/>
        </w:rPr>
        <w:t>80MHz +</w:t>
      </w:r>
      <w:proofErr w:type="spellStart"/>
      <w:r w:rsidRPr="002D22B2">
        <w:rPr>
          <w:sz w:val="20"/>
          <w:szCs w:val="20"/>
        </w:rPr>
        <w:t>BW</w:t>
      </w:r>
      <w:r w:rsidRPr="002D22B2">
        <w:rPr>
          <w:sz w:val="20"/>
          <w:szCs w:val="20"/>
          <w:vertAlign w:val="subscript"/>
        </w:rPr>
        <w:t>another</w:t>
      </w:r>
      <w:proofErr w:type="spellEnd"/>
      <w:r w:rsidRPr="002D22B2">
        <w:rPr>
          <w:sz w:val="20"/>
          <w:szCs w:val="20"/>
        </w:rPr>
        <w:t xml:space="preserve">/2, defined as the center </w:t>
      </w:r>
      <w:proofErr w:type="gramStart"/>
      <w:r w:rsidRPr="002D22B2">
        <w:rPr>
          <w:sz w:val="20"/>
          <w:szCs w:val="20"/>
        </w:rPr>
        <w:t xml:space="preserve">of  </w:t>
      </w:r>
      <w:proofErr w:type="spellStart"/>
      <w:r w:rsidRPr="002D22B2">
        <w:rPr>
          <w:sz w:val="20"/>
          <w:szCs w:val="20"/>
        </w:rPr>
        <w:t>BW</w:t>
      </w:r>
      <w:r w:rsidRPr="002D22B2">
        <w:rPr>
          <w:sz w:val="20"/>
          <w:szCs w:val="20"/>
          <w:vertAlign w:val="subscript"/>
        </w:rPr>
        <w:t>another</w:t>
      </w:r>
      <w:proofErr w:type="spellEnd"/>
      <w:proofErr w:type="gramEnd"/>
      <w:r w:rsidRPr="002D22B2">
        <w:rPr>
          <w:sz w:val="20"/>
          <w:szCs w:val="20"/>
        </w:rPr>
        <w:t xml:space="preserve"> relative to edge of </w:t>
      </w:r>
      <w:proofErr w:type="spellStart"/>
      <w:r w:rsidRPr="002D22B2">
        <w:rPr>
          <w:sz w:val="20"/>
          <w:szCs w:val="20"/>
        </w:rPr>
        <w:t>BW</w:t>
      </w:r>
      <w:r w:rsidRPr="002D22B2">
        <w:rPr>
          <w:sz w:val="20"/>
          <w:szCs w:val="20"/>
          <w:vertAlign w:val="subscript"/>
        </w:rPr>
        <w:t>wanted</w:t>
      </w:r>
      <w:proofErr w:type="spellEnd"/>
      <w:r>
        <w:rPr>
          <w:sz w:val="20"/>
          <w:szCs w:val="20"/>
        </w:rPr>
        <w:t>. See figure below.</w:t>
      </w:r>
    </w:p>
    <w:p w14:paraId="449956D2" w14:textId="77777777" w:rsidR="002D22B2" w:rsidRDefault="002D22B2" w:rsidP="002D22B2">
      <w:pPr>
        <w:spacing w:after="120"/>
        <w:rPr>
          <w:sz w:val="20"/>
          <w:szCs w:val="20"/>
          <w:lang w:val="en-GB"/>
        </w:rPr>
      </w:pPr>
    </w:p>
    <w:p w14:paraId="46E70E6E" w14:textId="2921746B" w:rsidR="002D22B2" w:rsidRDefault="002D22B2" w:rsidP="002D22B2">
      <w:pPr>
        <w:spacing w:after="120"/>
        <w:rPr>
          <w:sz w:val="20"/>
          <w:szCs w:val="20"/>
          <w:lang w:val="en-GB"/>
        </w:rPr>
      </w:pPr>
      <w:r>
        <w:rPr>
          <w:rFonts w:eastAsia="SimSun"/>
          <w:noProof/>
          <w:lang w:eastAsia="zh-CN"/>
        </w:rPr>
        <w:lastRenderedPageBreak/>
        <w:drawing>
          <wp:inline distT="0" distB="0" distL="0" distR="0" wp14:anchorId="037BFA47" wp14:editId="70B21A28">
            <wp:extent cx="5943600" cy="1877218"/>
            <wp:effectExtent l="0" t="0" r="0" b="2540"/>
            <wp:docPr id="807080501" name="Picture 4" descr="A colorful graph with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080501" name="Picture 4" descr="A colorful graph with numbers&#10;&#10;Description automatically generated with medium confidence"/>
                    <pic:cNvPicPr/>
                  </pic:nvPicPr>
                  <pic:blipFill>
                    <a:blip r:embed="rId7" cstate="print">
                      <a:extLst>
                        <a:ext uri="{28A0092B-C50C-407E-A947-70E740481C1C}">
                          <a14:useLocalDpi xmlns:a14="http://schemas.microsoft.com/office/drawing/2010/main" val="0"/>
                        </a:ext>
                      </a:extLst>
                    </a:blip>
                    <a:stretch>
                      <a:fillRect/>
                    </a:stretch>
                  </pic:blipFill>
                  <pic:spPr>
                    <a:xfrm>
                      <a:off x="0" y="0"/>
                      <a:ext cx="5943600" cy="1877218"/>
                    </a:xfrm>
                    <a:prstGeom prst="rect">
                      <a:avLst/>
                    </a:prstGeom>
                  </pic:spPr>
                </pic:pic>
              </a:graphicData>
            </a:graphic>
          </wp:inline>
        </w:drawing>
      </w:r>
    </w:p>
    <w:p w14:paraId="798422E2" w14:textId="77777777" w:rsidR="004C6C82" w:rsidRDefault="004C6C82" w:rsidP="002D22B2">
      <w:pPr>
        <w:spacing w:after="120"/>
        <w:rPr>
          <w:sz w:val="20"/>
          <w:szCs w:val="20"/>
          <w:lang w:val="en-GB"/>
        </w:rPr>
      </w:pPr>
    </w:p>
    <w:p w14:paraId="451DC169" w14:textId="039EADF4" w:rsidR="002D22B2" w:rsidRPr="002D22B2" w:rsidRDefault="004C6C82" w:rsidP="002D22B2">
      <w:pPr>
        <w:spacing w:after="120"/>
        <w:rPr>
          <w:sz w:val="20"/>
          <w:szCs w:val="20"/>
          <w:lang w:val="en-GB"/>
        </w:rPr>
      </w:pPr>
      <w:r>
        <w:rPr>
          <w:sz w:val="20"/>
          <w:szCs w:val="20"/>
          <w:lang w:val="en-GB"/>
        </w:rPr>
        <w:t xml:space="preserve">Hence, we can conclude </w:t>
      </w:r>
      <w:r w:rsidRPr="004C6C82">
        <w:rPr>
          <w:sz w:val="20"/>
          <w:szCs w:val="20"/>
          <w:lang w:val="en-GB"/>
        </w:rPr>
        <w:t xml:space="preserve">that </w:t>
      </w:r>
      <w:r w:rsidRPr="002D22B2">
        <w:rPr>
          <w:sz w:val="20"/>
          <w:szCs w:val="20"/>
          <w:lang w:val="en-GB"/>
        </w:rPr>
        <w:t>there will be no significant adjacent channel interference, and time and frequency offsets can be corrected independently for each CC</w:t>
      </w:r>
      <w:r>
        <w:rPr>
          <w:sz w:val="20"/>
          <w:szCs w:val="20"/>
          <w:lang w:val="en-GB"/>
        </w:rPr>
        <w:t>.</w:t>
      </w:r>
    </w:p>
    <w:p w14:paraId="6130AA8E" w14:textId="77777777" w:rsidR="002D22B2" w:rsidRPr="002D22B2" w:rsidRDefault="002D22B2" w:rsidP="002D22B2">
      <w:pPr>
        <w:spacing w:after="120"/>
        <w:rPr>
          <w:b/>
          <w:bCs/>
          <w:sz w:val="20"/>
          <w:szCs w:val="20"/>
          <w:lang w:val="en-GB"/>
        </w:rPr>
      </w:pPr>
      <w:r w:rsidRPr="002D22B2">
        <w:rPr>
          <w:b/>
          <w:bCs/>
          <w:sz w:val="20"/>
          <w:szCs w:val="20"/>
          <w:u w:val="single"/>
          <w:lang w:val="en-GB"/>
        </w:rPr>
        <w:t>Observation 2</w:t>
      </w:r>
      <w:r w:rsidRPr="002D22B2">
        <w:rPr>
          <w:b/>
          <w:bCs/>
          <w:sz w:val="20"/>
          <w:szCs w:val="20"/>
          <w:lang w:val="en-GB"/>
        </w:rPr>
        <w:t xml:space="preserve">: Since Type-2 UEs have two separate Rx chains for each CC, there will be no significant adjacent channel interference, and time and frequency offsets can be corrected independently for each </w:t>
      </w:r>
      <w:proofErr w:type="gramStart"/>
      <w:r w:rsidRPr="002D22B2">
        <w:rPr>
          <w:b/>
          <w:bCs/>
          <w:sz w:val="20"/>
          <w:szCs w:val="20"/>
          <w:lang w:val="en-GB"/>
        </w:rPr>
        <w:t>CC</w:t>
      </w:r>
      <w:proofErr w:type="gramEnd"/>
    </w:p>
    <w:p w14:paraId="59968A69" w14:textId="77777777" w:rsidR="004C6C82" w:rsidRDefault="004C6C82" w:rsidP="002D22B2">
      <w:pPr>
        <w:spacing w:after="120"/>
        <w:rPr>
          <w:sz w:val="20"/>
          <w:szCs w:val="20"/>
          <w:lang w:val="en-GB"/>
        </w:rPr>
      </w:pPr>
      <w:r w:rsidRPr="004C6C82">
        <w:rPr>
          <w:sz w:val="20"/>
          <w:szCs w:val="20"/>
          <w:lang w:val="en-GB"/>
        </w:rPr>
        <w:t xml:space="preserve">In addition, we want to comment that </w:t>
      </w:r>
      <w:r>
        <w:rPr>
          <w:sz w:val="20"/>
          <w:szCs w:val="20"/>
          <w:lang w:val="en-GB"/>
        </w:rPr>
        <w:t xml:space="preserve">the </w:t>
      </w:r>
      <w:r w:rsidRPr="004C6C82">
        <w:rPr>
          <w:sz w:val="20"/>
          <w:szCs w:val="20"/>
          <w:lang w:val="en-GB"/>
        </w:rPr>
        <w:t xml:space="preserve">existing Type-1 UE test case for Carrier Aggregation with Power Imbalance in TS 38.101-4 </w:t>
      </w:r>
      <w:r>
        <w:rPr>
          <w:sz w:val="20"/>
          <w:szCs w:val="20"/>
          <w:lang w:val="en-GB"/>
        </w:rPr>
        <w:t xml:space="preserve">operate at a quite high transmit power. Since the power spectral density if determined as 106/112 dBm/Hz, an FR1 carrier of 100MHz will imply a total received power quite close to the maximum received power defined in TS 38.101-1. This is, -112 dBm + 80dB = -32dBm. </w:t>
      </w:r>
    </w:p>
    <w:p w14:paraId="429E6916" w14:textId="4FC87DFF" w:rsidR="004C6C82" w:rsidRDefault="004C6C82" w:rsidP="002D22B2">
      <w:pPr>
        <w:spacing w:after="120"/>
        <w:rPr>
          <w:sz w:val="20"/>
          <w:szCs w:val="20"/>
        </w:rPr>
      </w:pPr>
      <w:r>
        <w:rPr>
          <w:sz w:val="20"/>
          <w:szCs w:val="20"/>
          <w:lang w:val="en-GB"/>
        </w:rPr>
        <w:t xml:space="preserve">Hence, if we contrast the Tuype-2 scenario against the Type-1 scenario, in the latter </w:t>
      </w:r>
      <w:r w:rsidRPr="004C6C82">
        <w:rPr>
          <w:sz w:val="20"/>
          <w:szCs w:val="20"/>
        </w:rPr>
        <w:t xml:space="preserve">the fundamental assumption </w:t>
      </w:r>
      <w:r>
        <w:rPr>
          <w:sz w:val="20"/>
          <w:szCs w:val="20"/>
        </w:rPr>
        <w:t>is</w:t>
      </w:r>
      <w:r w:rsidRPr="004C6C82">
        <w:rPr>
          <w:sz w:val="20"/>
          <w:szCs w:val="20"/>
        </w:rPr>
        <w:t xml:space="preserve"> that the UE shares a single RF component (e.g., LNA, mixier, AGC, etc.) to receive two carriers. In this type of RF design, the UE adjusts the LO frequency between two carriers, where the image of one component carrier falls into the other component carrier. As a result, performance degradation owing to power imbalance is indeed expected.</w:t>
      </w:r>
    </w:p>
    <w:p w14:paraId="22D87AF4" w14:textId="7AB85691" w:rsidR="004C6C82" w:rsidRPr="00A77341" w:rsidRDefault="004C6C82" w:rsidP="002D22B2">
      <w:pPr>
        <w:spacing w:after="120"/>
        <w:rPr>
          <w:sz w:val="20"/>
          <w:szCs w:val="20"/>
        </w:rPr>
      </w:pPr>
      <w:r>
        <w:rPr>
          <w:sz w:val="20"/>
          <w:szCs w:val="20"/>
        </w:rPr>
        <w:t xml:space="preserve">However, in the Type-2 scenario we assume a power imbalance of 25dB. If we consider 112dBm/Hz as the power spectral density of the weaker carrier, then the absolute power of the stronger carrier will be above </w:t>
      </w:r>
      <w:r w:rsidR="00A77341">
        <w:rPr>
          <w:sz w:val="20"/>
          <w:szCs w:val="20"/>
        </w:rPr>
        <w:t>the maximum received power threshold. Hence, RAN4 should discuss again the fundamental assumptions for which the power levels are set, and what are the maximum channel bandwidths that should be considered to determine the performance requirement scenario. We believe that the aim of this test should be an operating condition much closer to REFSENS+1dB RF requirement, as a typical use case, rather than a very high-power scenario that is quite difficult to obtain in the field, only very close to the serving cells.</w:t>
      </w:r>
    </w:p>
    <w:p w14:paraId="230BFC61" w14:textId="5D3B2F9C" w:rsidR="002D22B2" w:rsidRPr="002D22B2" w:rsidRDefault="002D22B2" w:rsidP="002D22B2">
      <w:pPr>
        <w:spacing w:after="120"/>
        <w:rPr>
          <w:b/>
          <w:bCs/>
          <w:sz w:val="20"/>
          <w:szCs w:val="20"/>
          <w:lang w:val="en-GB"/>
        </w:rPr>
      </w:pPr>
      <w:r w:rsidRPr="002D22B2">
        <w:rPr>
          <w:b/>
          <w:bCs/>
          <w:sz w:val="20"/>
          <w:szCs w:val="20"/>
          <w:u w:val="single"/>
          <w:lang w:val="en-GB"/>
        </w:rPr>
        <w:t>Observation 3</w:t>
      </w:r>
      <w:r w:rsidRPr="002D22B2">
        <w:rPr>
          <w:b/>
          <w:bCs/>
          <w:sz w:val="20"/>
          <w:szCs w:val="20"/>
          <w:lang w:val="en-GB"/>
        </w:rPr>
        <w:t xml:space="preserve">: Exiting CA power imbalance tests operate at very high power </w:t>
      </w:r>
      <w:proofErr w:type="gramStart"/>
      <w:r w:rsidRPr="002D22B2">
        <w:rPr>
          <w:b/>
          <w:bCs/>
          <w:sz w:val="20"/>
          <w:szCs w:val="20"/>
          <w:lang w:val="en-GB"/>
        </w:rPr>
        <w:t>( 106</w:t>
      </w:r>
      <w:proofErr w:type="gramEnd"/>
      <w:r w:rsidRPr="002D22B2">
        <w:rPr>
          <w:b/>
          <w:bCs/>
          <w:sz w:val="20"/>
          <w:szCs w:val="20"/>
          <w:lang w:val="en-GB"/>
        </w:rPr>
        <w:t>/112 dBm/Hz ) only because a shared LNA is assumed for Type-1 UEs.</w:t>
      </w:r>
    </w:p>
    <w:p w14:paraId="1DDDD335" w14:textId="7B50F108" w:rsidR="002D22B2" w:rsidRPr="002D22B2" w:rsidRDefault="002D22B2" w:rsidP="002D22B2">
      <w:pPr>
        <w:spacing w:after="120"/>
        <w:rPr>
          <w:b/>
          <w:bCs/>
          <w:sz w:val="20"/>
          <w:szCs w:val="20"/>
          <w:lang w:val="en-GB"/>
        </w:rPr>
      </w:pPr>
      <w:r w:rsidRPr="002D22B2">
        <w:rPr>
          <w:b/>
          <w:bCs/>
          <w:sz w:val="20"/>
          <w:szCs w:val="20"/>
          <w:u w:val="single"/>
          <w:lang w:val="en-GB"/>
        </w:rPr>
        <w:t>Proposal 1</w:t>
      </w:r>
      <w:r w:rsidRPr="002D22B2">
        <w:rPr>
          <w:b/>
          <w:bCs/>
          <w:sz w:val="20"/>
          <w:szCs w:val="20"/>
          <w:lang w:val="en-GB"/>
        </w:rPr>
        <w:t xml:space="preserve">: </w:t>
      </w:r>
      <w:r w:rsidR="004C6C82">
        <w:rPr>
          <w:b/>
          <w:bCs/>
          <w:sz w:val="20"/>
          <w:szCs w:val="20"/>
          <w:lang w:val="en-GB"/>
        </w:rPr>
        <w:t>RAN4 to discuss d</w:t>
      </w:r>
      <w:r w:rsidRPr="002D22B2">
        <w:rPr>
          <w:b/>
          <w:bCs/>
          <w:sz w:val="20"/>
          <w:szCs w:val="20"/>
          <w:lang w:val="en-GB"/>
        </w:rPr>
        <w:t>efin</w:t>
      </w:r>
      <w:r w:rsidR="004C6C82">
        <w:rPr>
          <w:b/>
          <w:bCs/>
          <w:sz w:val="20"/>
          <w:szCs w:val="20"/>
          <w:lang w:val="en-GB"/>
        </w:rPr>
        <w:t>ing</w:t>
      </w:r>
      <w:r w:rsidRPr="002D22B2">
        <w:rPr>
          <w:b/>
          <w:bCs/>
          <w:sz w:val="20"/>
          <w:szCs w:val="20"/>
          <w:lang w:val="en-GB"/>
        </w:rPr>
        <w:t xml:space="preserve"> PDSCH demodulation requirement in STATIC and AWGN condition such that a low MCS value is considered for the weaker CC, hence at a power &lt;&lt; 112 dBm/Hz much closer to the REFSENS+1dB requirement.</w:t>
      </w:r>
    </w:p>
    <w:p w14:paraId="7037CA2C" w14:textId="4DD1AF56" w:rsidR="00A77341" w:rsidRPr="00A77341" w:rsidRDefault="00A77341" w:rsidP="002D22B2">
      <w:pPr>
        <w:spacing w:after="120"/>
        <w:rPr>
          <w:sz w:val="20"/>
          <w:szCs w:val="20"/>
          <w:lang w:val="en-GB"/>
        </w:rPr>
      </w:pPr>
      <w:r>
        <w:rPr>
          <w:sz w:val="20"/>
          <w:szCs w:val="20"/>
          <w:lang w:val="en-GB"/>
        </w:rPr>
        <w:t>Therefore, if being consistent with the previous rationale, we should then define PDSCH performance requirements like any other CA test. Hence, the relative throughput target for PDSCH should be 70%. On the other hand, the MCS values should be defined in a way consistent to the received power regime / power spectral density to be determined by RAN4.</w:t>
      </w:r>
    </w:p>
    <w:p w14:paraId="28312841" w14:textId="3281F7C4" w:rsidR="002D22B2" w:rsidRDefault="002D22B2" w:rsidP="002D22B2">
      <w:pPr>
        <w:spacing w:after="120"/>
        <w:rPr>
          <w:b/>
          <w:bCs/>
          <w:sz w:val="20"/>
          <w:szCs w:val="20"/>
          <w:lang w:val="en-GB"/>
        </w:rPr>
      </w:pPr>
      <w:r w:rsidRPr="002D22B2">
        <w:rPr>
          <w:b/>
          <w:bCs/>
          <w:sz w:val="20"/>
          <w:szCs w:val="20"/>
          <w:u w:val="single"/>
          <w:lang w:val="en-GB"/>
        </w:rPr>
        <w:t>Proposal 2</w:t>
      </w:r>
      <w:r w:rsidRPr="002D22B2">
        <w:rPr>
          <w:b/>
          <w:bCs/>
          <w:sz w:val="20"/>
          <w:szCs w:val="20"/>
          <w:lang w:val="en-GB"/>
        </w:rPr>
        <w:t>: Define the PDSCH demodulation requirement for a 70% relative throughput target.</w:t>
      </w:r>
    </w:p>
    <w:p w14:paraId="756021C7" w14:textId="28BE3B73" w:rsidR="00A77341" w:rsidRDefault="00A77341" w:rsidP="002D22B2">
      <w:pPr>
        <w:spacing w:after="120"/>
        <w:rPr>
          <w:sz w:val="20"/>
          <w:szCs w:val="20"/>
        </w:rPr>
      </w:pPr>
      <w:r w:rsidRPr="00CE0F08">
        <w:rPr>
          <w:sz w:val="20"/>
          <w:szCs w:val="20"/>
        </w:rPr>
        <w:t xml:space="preserve">In addition to this, </w:t>
      </w:r>
      <w:r>
        <w:rPr>
          <w:sz w:val="20"/>
          <w:szCs w:val="20"/>
        </w:rPr>
        <w:t xml:space="preserve">we want to stress out that the same procedure for </w:t>
      </w:r>
      <w:r>
        <w:rPr>
          <w:sz w:val="20"/>
          <w:szCs w:val="20"/>
        </w:rPr>
        <w:t xml:space="preserve">a regular </w:t>
      </w:r>
      <w:r>
        <w:rPr>
          <w:sz w:val="20"/>
          <w:szCs w:val="20"/>
        </w:rPr>
        <w:t xml:space="preserve">CA </w:t>
      </w:r>
      <w:r>
        <w:rPr>
          <w:sz w:val="20"/>
          <w:szCs w:val="20"/>
        </w:rPr>
        <w:t xml:space="preserve">test </w:t>
      </w:r>
      <w:r>
        <w:rPr>
          <w:sz w:val="20"/>
          <w:szCs w:val="20"/>
        </w:rPr>
        <w:t xml:space="preserve">should be applied here. This means, </w:t>
      </w:r>
      <w:r>
        <w:rPr>
          <w:sz w:val="20"/>
          <w:szCs w:val="20"/>
        </w:rPr>
        <w:t xml:space="preserve">only </w:t>
      </w:r>
      <w:r>
        <w:rPr>
          <w:sz w:val="20"/>
          <w:szCs w:val="20"/>
        </w:rPr>
        <w:t xml:space="preserve">one carrier is measured at a time. </w:t>
      </w:r>
      <w:r>
        <w:rPr>
          <w:sz w:val="20"/>
          <w:szCs w:val="20"/>
        </w:rPr>
        <w:t>First, n</w:t>
      </w:r>
      <w:r>
        <w:rPr>
          <w:sz w:val="20"/>
          <w:szCs w:val="20"/>
        </w:rPr>
        <w:t>o aggregate throughput need</w:t>
      </w:r>
      <w:r>
        <w:rPr>
          <w:sz w:val="20"/>
          <w:szCs w:val="20"/>
        </w:rPr>
        <w:t xml:space="preserve">s </w:t>
      </w:r>
      <w:r>
        <w:rPr>
          <w:sz w:val="20"/>
          <w:szCs w:val="20"/>
        </w:rPr>
        <w:t>to be measured</w:t>
      </w:r>
      <w:r>
        <w:rPr>
          <w:sz w:val="20"/>
          <w:szCs w:val="20"/>
        </w:rPr>
        <w:t xml:space="preserve"> since only the weaker carrier needs to be measured as an alternative hypothesis for a Type-2 implementation, </w:t>
      </w:r>
      <w:proofErr w:type="gramStart"/>
      <w:r>
        <w:rPr>
          <w:sz w:val="20"/>
          <w:szCs w:val="20"/>
        </w:rPr>
        <w:t>i.e.</w:t>
      </w:r>
      <w:proofErr w:type="gramEnd"/>
      <w:r>
        <w:rPr>
          <w:sz w:val="20"/>
          <w:szCs w:val="20"/>
        </w:rPr>
        <w:t xml:space="preserve"> to detect a UE that is not implemented in a way consistent with the Type-2 definition. </w:t>
      </w:r>
    </w:p>
    <w:p w14:paraId="11A0501E" w14:textId="77777777" w:rsidR="00A77341" w:rsidRDefault="00A77341" w:rsidP="002D22B2">
      <w:pPr>
        <w:spacing w:after="120"/>
        <w:rPr>
          <w:sz w:val="20"/>
          <w:szCs w:val="20"/>
        </w:rPr>
      </w:pPr>
    </w:p>
    <w:p w14:paraId="6E70E1E7" w14:textId="6E580663" w:rsidR="004C6C82" w:rsidRPr="002D22B2" w:rsidRDefault="00A77341" w:rsidP="002D22B2">
      <w:pPr>
        <w:spacing w:after="120"/>
        <w:rPr>
          <w:b/>
          <w:bCs/>
          <w:sz w:val="20"/>
          <w:szCs w:val="20"/>
          <w:lang w:val="en-GB"/>
        </w:rPr>
      </w:pPr>
      <w:r>
        <w:rPr>
          <w:sz w:val="20"/>
          <w:szCs w:val="20"/>
        </w:rPr>
        <w:lastRenderedPageBreak/>
        <w:t xml:space="preserve">If RAN4 maintains the agreement in RAN4#107 that both carriers need to be </w:t>
      </w:r>
      <w:proofErr w:type="spellStart"/>
      <w:r>
        <w:rPr>
          <w:sz w:val="20"/>
          <w:szCs w:val="20"/>
        </w:rPr>
        <w:t>meadsured</w:t>
      </w:r>
      <w:proofErr w:type="spellEnd"/>
      <w:r>
        <w:rPr>
          <w:sz w:val="20"/>
          <w:szCs w:val="20"/>
        </w:rPr>
        <w:t xml:space="preserve"> at the same time, t</w:t>
      </w:r>
      <w:r>
        <w:rPr>
          <w:sz w:val="20"/>
          <w:szCs w:val="20"/>
        </w:rPr>
        <w:t>his would also create some strange precedent how CA tests have been conducted in the past</w:t>
      </w:r>
      <w:r>
        <w:rPr>
          <w:sz w:val="20"/>
          <w:szCs w:val="20"/>
        </w:rPr>
        <w:t>, and an additional testing burden and the corresponding cost increase at the conformance UE test level.</w:t>
      </w:r>
    </w:p>
    <w:p w14:paraId="00E1FB91" w14:textId="77777777" w:rsidR="002D22B2" w:rsidRPr="002D22B2" w:rsidRDefault="002D22B2" w:rsidP="002D22B2">
      <w:pPr>
        <w:spacing w:after="120"/>
        <w:rPr>
          <w:b/>
          <w:bCs/>
          <w:sz w:val="20"/>
          <w:szCs w:val="20"/>
          <w:lang w:val="en-GB"/>
        </w:rPr>
      </w:pPr>
      <w:r w:rsidRPr="002D22B2">
        <w:rPr>
          <w:b/>
          <w:bCs/>
          <w:sz w:val="20"/>
          <w:szCs w:val="20"/>
          <w:u w:val="single"/>
          <w:lang w:val="en-GB"/>
        </w:rPr>
        <w:t>Observation 4</w:t>
      </w:r>
      <w:r w:rsidRPr="002D22B2">
        <w:rPr>
          <w:b/>
          <w:bCs/>
          <w:sz w:val="20"/>
          <w:szCs w:val="20"/>
          <w:lang w:val="en-GB"/>
        </w:rPr>
        <w:t xml:space="preserve">: RAN4 has tentatively agreed that for Type-2 UE in NR-CA, both </w:t>
      </w:r>
      <w:proofErr w:type="spellStart"/>
      <w:r w:rsidRPr="002D22B2">
        <w:rPr>
          <w:b/>
          <w:bCs/>
          <w:sz w:val="20"/>
          <w:szCs w:val="20"/>
          <w:lang w:val="en-GB"/>
        </w:rPr>
        <w:t>PCell</w:t>
      </w:r>
      <w:proofErr w:type="spellEnd"/>
      <w:r w:rsidRPr="002D22B2">
        <w:rPr>
          <w:b/>
          <w:bCs/>
          <w:sz w:val="20"/>
          <w:szCs w:val="20"/>
          <w:lang w:val="en-GB"/>
        </w:rPr>
        <w:t xml:space="preserve"> and </w:t>
      </w:r>
      <w:proofErr w:type="spellStart"/>
      <w:r w:rsidRPr="002D22B2">
        <w:rPr>
          <w:b/>
          <w:bCs/>
          <w:sz w:val="20"/>
          <w:szCs w:val="20"/>
          <w:lang w:val="en-GB"/>
        </w:rPr>
        <w:t>SCell</w:t>
      </w:r>
      <w:proofErr w:type="spellEnd"/>
      <w:r w:rsidRPr="002D22B2">
        <w:rPr>
          <w:b/>
          <w:bCs/>
          <w:sz w:val="20"/>
          <w:szCs w:val="20"/>
          <w:lang w:val="en-GB"/>
        </w:rPr>
        <w:t xml:space="preserve"> will be measured at the same time. </w:t>
      </w:r>
    </w:p>
    <w:p w14:paraId="787C94C2" w14:textId="77777777" w:rsidR="002D22B2" w:rsidRDefault="002D22B2" w:rsidP="002D22B2">
      <w:pPr>
        <w:spacing w:after="120"/>
        <w:rPr>
          <w:b/>
          <w:bCs/>
          <w:sz w:val="20"/>
          <w:szCs w:val="20"/>
          <w:lang w:val="en-GB"/>
        </w:rPr>
      </w:pPr>
      <w:r w:rsidRPr="002D22B2">
        <w:rPr>
          <w:b/>
          <w:bCs/>
          <w:sz w:val="20"/>
          <w:szCs w:val="20"/>
          <w:u w:val="single"/>
          <w:lang w:val="en-GB"/>
        </w:rPr>
        <w:t>Observation 5</w:t>
      </w:r>
      <w:r w:rsidRPr="002D22B2">
        <w:rPr>
          <w:b/>
          <w:bCs/>
          <w:sz w:val="20"/>
          <w:szCs w:val="20"/>
          <w:lang w:val="en-GB"/>
        </w:rPr>
        <w:t>: Previous EN-DC NR-CA tests will always measure the per-carrier throughput, measuring only one carrier at a time.</w:t>
      </w:r>
    </w:p>
    <w:p w14:paraId="20ABCDE8" w14:textId="14D1F13B" w:rsidR="004A23E2" w:rsidRPr="002D22B2" w:rsidRDefault="004A23E2" w:rsidP="002D22B2">
      <w:pPr>
        <w:spacing w:after="120"/>
        <w:rPr>
          <w:b/>
          <w:bCs/>
          <w:sz w:val="20"/>
          <w:szCs w:val="20"/>
          <w:lang w:val="en-GB"/>
        </w:rPr>
      </w:pPr>
      <w:r w:rsidRPr="002D22B2">
        <w:rPr>
          <w:b/>
          <w:bCs/>
          <w:sz w:val="20"/>
          <w:szCs w:val="20"/>
          <w:u w:val="single"/>
          <w:lang w:val="en-GB"/>
        </w:rPr>
        <w:t>Proposal 3</w:t>
      </w:r>
      <w:r w:rsidRPr="002D22B2">
        <w:rPr>
          <w:b/>
          <w:bCs/>
          <w:sz w:val="20"/>
          <w:szCs w:val="20"/>
          <w:lang w:val="en-GB"/>
        </w:rPr>
        <w:t>: Choose a</w:t>
      </w:r>
      <w:r>
        <w:rPr>
          <w:b/>
          <w:bCs/>
          <w:sz w:val="20"/>
          <w:szCs w:val="20"/>
          <w:lang w:val="en-GB"/>
        </w:rPr>
        <w:t xml:space="preserve">n </w:t>
      </w:r>
      <w:r w:rsidRPr="002D22B2">
        <w:rPr>
          <w:b/>
          <w:bCs/>
          <w:sz w:val="20"/>
          <w:szCs w:val="20"/>
          <w:lang w:val="en-GB"/>
        </w:rPr>
        <w:t>MCS</w:t>
      </w:r>
      <w:r>
        <w:rPr>
          <w:b/>
          <w:bCs/>
          <w:sz w:val="20"/>
          <w:szCs w:val="20"/>
          <w:lang w:val="en-GB"/>
        </w:rPr>
        <w:t xml:space="preserve"> value for the weakest carrier that is consistent to the received power regime defined for Type-2 UE requirements, since there is no added value in measure both </w:t>
      </w:r>
      <w:proofErr w:type="spellStart"/>
      <w:r>
        <w:rPr>
          <w:b/>
          <w:bCs/>
          <w:sz w:val="20"/>
          <w:szCs w:val="20"/>
          <w:lang w:val="en-GB"/>
        </w:rPr>
        <w:t>PCell</w:t>
      </w:r>
      <w:proofErr w:type="spellEnd"/>
      <w:r>
        <w:rPr>
          <w:b/>
          <w:bCs/>
          <w:sz w:val="20"/>
          <w:szCs w:val="20"/>
          <w:lang w:val="en-GB"/>
        </w:rPr>
        <w:t xml:space="preserve"> and </w:t>
      </w:r>
      <w:proofErr w:type="spellStart"/>
      <w:r>
        <w:rPr>
          <w:b/>
          <w:bCs/>
          <w:sz w:val="20"/>
          <w:szCs w:val="20"/>
          <w:lang w:val="en-GB"/>
        </w:rPr>
        <w:t>SCell</w:t>
      </w:r>
      <w:proofErr w:type="spellEnd"/>
      <w:r>
        <w:rPr>
          <w:b/>
          <w:bCs/>
          <w:sz w:val="20"/>
          <w:szCs w:val="20"/>
          <w:lang w:val="en-GB"/>
        </w:rPr>
        <w:t>, and even less if they are measured at the same time.</w:t>
      </w:r>
    </w:p>
    <w:p w14:paraId="2B9C241E" w14:textId="608460C6" w:rsidR="00A77341" w:rsidRPr="00894A95" w:rsidRDefault="00A77341" w:rsidP="009F7E2A">
      <w:pPr>
        <w:spacing w:after="120"/>
        <w:rPr>
          <w:sz w:val="20"/>
          <w:szCs w:val="20"/>
          <w:lang w:val="en-GB"/>
        </w:rPr>
      </w:pPr>
      <w:r w:rsidRPr="00894A95">
        <w:rPr>
          <w:sz w:val="20"/>
          <w:szCs w:val="20"/>
          <w:lang w:val="en-GB"/>
        </w:rPr>
        <w:t xml:space="preserve">Hence, we believe that RAN4 should revisit this agreement and ask interested companies to </w:t>
      </w:r>
      <w:r w:rsidR="00894A95" w:rsidRPr="00894A95">
        <w:rPr>
          <w:sz w:val="20"/>
          <w:szCs w:val="20"/>
          <w:lang w:val="en-GB"/>
        </w:rPr>
        <w:t>discuss what specific assumptions are made in terms of UE implementation that require that both carriers should be measured at the same time.</w:t>
      </w:r>
      <w:r w:rsidR="00894A95">
        <w:rPr>
          <w:sz w:val="20"/>
          <w:szCs w:val="20"/>
          <w:lang w:val="en-GB"/>
        </w:rPr>
        <w:t xml:space="preserve"> In addition, further discussion should take place on whether the fundamentals of Type-2 UE performance requirements should really differ from the legacy EN-DC testing methodology.</w:t>
      </w:r>
    </w:p>
    <w:p w14:paraId="0D4CB0BF" w14:textId="4D6B86DD" w:rsidR="002D22B2" w:rsidRDefault="002D22B2" w:rsidP="009F7E2A">
      <w:pPr>
        <w:spacing w:after="120"/>
        <w:rPr>
          <w:sz w:val="20"/>
          <w:szCs w:val="20"/>
        </w:rPr>
      </w:pPr>
      <w:r w:rsidRPr="002D22B2">
        <w:rPr>
          <w:b/>
          <w:bCs/>
          <w:sz w:val="20"/>
          <w:szCs w:val="20"/>
          <w:u w:val="single"/>
          <w:lang w:val="en-GB"/>
        </w:rPr>
        <w:t>Proposal 4</w:t>
      </w:r>
      <w:r w:rsidRPr="002D22B2">
        <w:rPr>
          <w:b/>
          <w:bCs/>
          <w:sz w:val="20"/>
          <w:szCs w:val="20"/>
          <w:lang w:val="en-GB"/>
        </w:rPr>
        <w:t>: RAN4 discuss what specific implementation assumptions are made by contributing companies that justify</w:t>
      </w:r>
      <w:r w:rsidR="004A23E2">
        <w:rPr>
          <w:b/>
          <w:bCs/>
          <w:sz w:val="20"/>
          <w:szCs w:val="20"/>
          <w:lang w:val="en-GB"/>
        </w:rPr>
        <w:t xml:space="preserve"> that the throughput of</w:t>
      </w:r>
      <w:r w:rsidRPr="002D22B2">
        <w:rPr>
          <w:b/>
          <w:bCs/>
          <w:sz w:val="20"/>
          <w:szCs w:val="20"/>
          <w:lang w:val="en-GB"/>
        </w:rPr>
        <w:t xml:space="preserve"> both </w:t>
      </w:r>
      <w:proofErr w:type="spellStart"/>
      <w:r w:rsidRPr="002D22B2">
        <w:rPr>
          <w:b/>
          <w:bCs/>
          <w:sz w:val="20"/>
          <w:szCs w:val="20"/>
          <w:lang w:val="en-GB"/>
        </w:rPr>
        <w:t>PCell</w:t>
      </w:r>
      <w:proofErr w:type="spellEnd"/>
      <w:r w:rsidRPr="002D22B2">
        <w:rPr>
          <w:b/>
          <w:bCs/>
          <w:sz w:val="20"/>
          <w:szCs w:val="20"/>
          <w:lang w:val="en-GB"/>
        </w:rPr>
        <w:t xml:space="preserve"> and </w:t>
      </w:r>
      <w:proofErr w:type="spellStart"/>
      <w:r w:rsidRPr="002D22B2">
        <w:rPr>
          <w:b/>
          <w:bCs/>
          <w:sz w:val="20"/>
          <w:szCs w:val="20"/>
          <w:lang w:val="en-GB"/>
        </w:rPr>
        <w:t>SCell</w:t>
      </w:r>
      <w:proofErr w:type="spellEnd"/>
      <w:r w:rsidRPr="002D22B2">
        <w:rPr>
          <w:b/>
          <w:bCs/>
          <w:sz w:val="20"/>
          <w:szCs w:val="20"/>
          <w:lang w:val="en-GB"/>
        </w:rPr>
        <w:t xml:space="preserve"> will be measured at the same time</w:t>
      </w:r>
      <w:r w:rsidR="004A23E2">
        <w:rPr>
          <w:b/>
          <w:bCs/>
          <w:sz w:val="20"/>
          <w:szCs w:val="20"/>
          <w:lang w:val="en-GB"/>
        </w:rPr>
        <w:t>, deviating from previous CA methodology.</w:t>
      </w:r>
    </w:p>
    <w:p w14:paraId="7E21C5B2" w14:textId="518187C9" w:rsidR="00D601BB" w:rsidRDefault="00D601BB" w:rsidP="00D601BB">
      <w:pPr>
        <w:spacing w:after="120"/>
        <w:rPr>
          <w:rFonts w:eastAsia="SimSun"/>
          <w:b/>
          <w:bCs/>
          <w:sz w:val="20"/>
          <w:szCs w:val="20"/>
          <w:lang w:eastAsia="en-GB"/>
        </w:rPr>
      </w:pPr>
    </w:p>
    <w:p w14:paraId="0B3141EF" w14:textId="5F84E441" w:rsidR="009F52D7" w:rsidRPr="002F79EB" w:rsidRDefault="005A1B6E" w:rsidP="009F52D7">
      <w:pPr>
        <w:pStyle w:val="Heading1"/>
        <w:rPr>
          <w:lang w:val="en-US"/>
        </w:rPr>
      </w:pPr>
      <w:r>
        <w:rPr>
          <w:lang w:val="en-US"/>
        </w:rPr>
        <w:t>4</w:t>
      </w:r>
      <w:r w:rsidR="009F52D7">
        <w:rPr>
          <w:lang w:val="en-US"/>
        </w:rPr>
        <w:t>. Conclusion</w:t>
      </w:r>
    </w:p>
    <w:p w14:paraId="50B7019E" w14:textId="66EAB115" w:rsidR="006E3972" w:rsidRPr="00C927E5" w:rsidRDefault="00D85753" w:rsidP="006E3972">
      <w:pPr>
        <w:spacing w:after="120"/>
        <w:rPr>
          <w:sz w:val="20"/>
          <w:szCs w:val="20"/>
        </w:rPr>
      </w:pPr>
      <w:r>
        <w:rPr>
          <w:sz w:val="20"/>
          <w:szCs w:val="20"/>
          <w:lang w:val="en-GB"/>
        </w:rPr>
        <w:t xml:space="preserve">Our </w:t>
      </w:r>
      <w:r w:rsidR="00C927E5">
        <w:rPr>
          <w:sz w:val="20"/>
          <w:szCs w:val="20"/>
          <w:lang w:val="en-GB"/>
        </w:rPr>
        <w:t xml:space="preserve">observations and </w:t>
      </w:r>
      <w:r>
        <w:rPr>
          <w:sz w:val="20"/>
          <w:szCs w:val="20"/>
          <w:lang w:val="en-GB"/>
        </w:rPr>
        <w:t xml:space="preserve">proposals about </w:t>
      </w:r>
      <w:r w:rsidR="002D22B2">
        <w:rPr>
          <w:sz w:val="20"/>
          <w:szCs w:val="20"/>
          <w:lang w:val="en-GB"/>
        </w:rPr>
        <w:t>the testing criteria for T</w:t>
      </w:r>
      <w:r w:rsidR="00343A95">
        <w:rPr>
          <w:sz w:val="20"/>
          <w:szCs w:val="20"/>
          <w:lang w:val="en-GB"/>
        </w:rPr>
        <w:t xml:space="preserve">ype-2 </w:t>
      </w:r>
      <w:r w:rsidR="002D22B2">
        <w:rPr>
          <w:sz w:val="20"/>
          <w:szCs w:val="20"/>
          <w:lang w:val="en-GB"/>
        </w:rPr>
        <w:t>UEs in</w:t>
      </w:r>
      <w:r w:rsidR="00343A95">
        <w:rPr>
          <w:sz w:val="20"/>
          <w:szCs w:val="20"/>
          <w:lang w:val="en-GB"/>
        </w:rPr>
        <w:t xml:space="preserve"> Intra-band Non-collocated NR-CA </w:t>
      </w:r>
      <w:r w:rsidR="002D22B2">
        <w:rPr>
          <w:sz w:val="20"/>
          <w:szCs w:val="20"/>
          <w:lang w:val="en-GB"/>
        </w:rPr>
        <w:t xml:space="preserve">scenarios </w:t>
      </w:r>
      <w:r w:rsidR="00343A95">
        <w:rPr>
          <w:sz w:val="20"/>
          <w:szCs w:val="20"/>
          <w:lang w:val="en-GB"/>
        </w:rPr>
        <w:t>are summarized below:</w:t>
      </w:r>
    </w:p>
    <w:p w14:paraId="681DE342" w14:textId="77777777" w:rsidR="004A23E2" w:rsidRDefault="004A23E2" w:rsidP="004A23E2">
      <w:pPr>
        <w:spacing w:after="120"/>
        <w:rPr>
          <w:b/>
          <w:bCs/>
          <w:sz w:val="20"/>
          <w:szCs w:val="20"/>
          <w:lang w:val="en-GB"/>
        </w:rPr>
      </w:pPr>
      <w:r w:rsidRPr="002D22B2">
        <w:rPr>
          <w:b/>
          <w:bCs/>
          <w:sz w:val="20"/>
          <w:szCs w:val="20"/>
          <w:u w:val="single"/>
          <w:lang w:val="en-GB"/>
        </w:rPr>
        <w:t>Observation 1</w:t>
      </w:r>
      <w:r w:rsidRPr="002D22B2">
        <w:rPr>
          <w:b/>
          <w:bCs/>
          <w:sz w:val="20"/>
          <w:szCs w:val="20"/>
          <w:lang w:val="en-GB"/>
        </w:rPr>
        <w:t xml:space="preserve">: It has been agreed that for Type 2 UE, requirement will consider the maximum power imbalance of 25dB and a MRTD of </w:t>
      </w:r>
      <w:proofErr w:type="gramStart"/>
      <w:r w:rsidRPr="002D22B2">
        <w:rPr>
          <w:b/>
          <w:bCs/>
          <w:sz w:val="20"/>
          <w:szCs w:val="20"/>
          <w:lang w:val="en-GB"/>
        </w:rPr>
        <w:t>33us</w:t>
      </w:r>
      <w:proofErr w:type="gramEnd"/>
    </w:p>
    <w:p w14:paraId="186A8C7F" w14:textId="77777777" w:rsidR="002D22B2" w:rsidRPr="002D22B2" w:rsidRDefault="002D22B2" w:rsidP="002D22B2">
      <w:pPr>
        <w:spacing w:after="120"/>
        <w:rPr>
          <w:b/>
          <w:bCs/>
          <w:sz w:val="20"/>
          <w:szCs w:val="20"/>
          <w:lang w:val="en-GB"/>
        </w:rPr>
      </w:pPr>
      <w:r w:rsidRPr="002D22B2">
        <w:rPr>
          <w:b/>
          <w:bCs/>
          <w:sz w:val="20"/>
          <w:szCs w:val="20"/>
          <w:u w:val="single"/>
          <w:lang w:val="en-GB"/>
        </w:rPr>
        <w:t>Observation 2</w:t>
      </w:r>
      <w:r w:rsidRPr="002D22B2">
        <w:rPr>
          <w:b/>
          <w:bCs/>
          <w:sz w:val="20"/>
          <w:szCs w:val="20"/>
          <w:lang w:val="en-GB"/>
        </w:rPr>
        <w:t xml:space="preserve">: Since Type-2 UEs have two separate Rx chains for each CC, there will be no significant adjacent channel interference, and time and frequency offsets can be corrected independently for each </w:t>
      </w:r>
      <w:proofErr w:type="gramStart"/>
      <w:r w:rsidRPr="002D22B2">
        <w:rPr>
          <w:b/>
          <w:bCs/>
          <w:sz w:val="20"/>
          <w:szCs w:val="20"/>
          <w:lang w:val="en-GB"/>
        </w:rPr>
        <w:t>CC</w:t>
      </w:r>
      <w:proofErr w:type="gramEnd"/>
    </w:p>
    <w:p w14:paraId="4A9C919E" w14:textId="77777777" w:rsidR="002D22B2" w:rsidRPr="002D22B2" w:rsidRDefault="002D22B2" w:rsidP="002D22B2">
      <w:pPr>
        <w:spacing w:after="120"/>
        <w:rPr>
          <w:b/>
          <w:bCs/>
          <w:sz w:val="20"/>
          <w:szCs w:val="20"/>
          <w:lang w:val="en-GB"/>
        </w:rPr>
      </w:pPr>
      <w:r w:rsidRPr="002D22B2">
        <w:rPr>
          <w:b/>
          <w:bCs/>
          <w:sz w:val="20"/>
          <w:szCs w:val="20"/>
          <w:u w:val="single"/>
          <w:lang w:val="en-GB"/>
        </w:rPr>
        <w:t>Observation 3</w:t>
      </w:r>
      <w:r w:rsidRPr="002D22B2">
        <w:rPr>
          <w:b/>
          <w:bCs/>
          <w:sz w:val="20"/>
          <w:szCs w:val="20"/>
          <w:lang w:val="en-GB"/>
        </w:rPr>
        <w:t xml:space="preserve">: Exiting CA power imbalance tests operate at very high power </w:t>
      </w:r>
      <w:proofErr w:type="gramStart"/>
      <w:r w:rsidRPr="002D22B2">
        <w:rPr>
          <w:b/>
          <w:bCs/>
          <w:sz w:val="20"/>
          <w:szCs w:val="20"/>
          <w:lang w:val="en-GB"/>
        </w:rPr>
        <w:t>( 106</w:t>
      </w:r>
      <w:proofErr w:type="gramEnd"/>
      <w:r w:rsidRPr="002D22B2">
        <w:rPr>
          <w:b/>
          <w:bCs/>
          <w:sz w:val="20"/>
          <w:szCs w:val="20"/>
          <w:lang w:val="en-GB"/>
        </w:rPr>
        <w:t>/112 dBm/Hz ) only because a shared LNA is assumed for Type-1 UEs.</w:t>
      </w:r>
    </w:p>
    <w:p w14:paraId="738B3E0D" w14:textId="77777777" w:rsidR="002D22B2" w:rsidRDefault="002D22B2" w:rsidP="002D22B2">
      <w:pPr>
        <w:spacing w:after="120"/>
        <w:rPr>
          <w:b/>
          <w:bCs/>
          <w:sz w:val="20"/>
          <w:szCs w:val="20"/>
          <w:lang w:val="en-GB"/>
        </w:rPr>
      </w:pPr>
      <w:r w:rsidRPr="002D22B2">
        <w:rPr>
          <w:b/>
          <w:bCs/>
          <w:sz w:val="20"/>
          <w:szCs w:val="20"/>
          <w:u w:val="single"/>
          <w:lang w:val="en-GB"/>
        </w:rPr>
        <w:t>Proposal 1</w:t>
      </w:r>
      <w:r w:rsidRPr="002D22B2">
        <w:rPr>
          <w:b/>
          <w:bCs/>
          <w:sz w:val="20"/>
          <w:szCs w:val="20"/>
          <w:lang w:val="en-GB"/>
        </w:rPr>
        <w:t>: Define PDSCH demodulation requirement in STATIC and AWGN condition such that a low MCS value is considered for the weaker CC, hence at a power &lt;&lt; 112 dBm/Hz much closer to the REFSENS+1dB requirement.</w:t>
      </w:r>
    </w:p>
    <w:p w14:paraId="3A7E8989" w14:textId="68A90CD6" w:rsidR="001E2909" w:rsidRPr="002D22B2" w:rsidRDefault="001E2909" w:rsidP="002D22B2">
      <w:pPr>
        <w:spacing w:after="120"/>
        <w:rPr>
          <w:b/>
          <w:bCs/>
          <w:sz w:val="20"/>
          <w:szCs w:val="20"/>
          <w:lang w:val="en-GB"/>
        </w:rPr>
      </w:pPr>
      <w:r w:rsidRPr="002D22B2">
        <w:rPr>
          <w:b/>
          <w:bCs/>
          <w:sz w:val="20"/>
          <w:szCs w:val="20"/>
          <w:u w:val="single"/>
          <w:lang w:val="en-GB"/>
        </w:rPr>
        <w:t>Proposal 2</w:t>
      </w:r>
      <w:r w:rsidRPr="002D22B2">
        <w:rPr>
          <w:b/>
          <w:bCs/>
          <w:sz w:val="20"/>
          <w:szCs w:val="20"/>
          <w:lang w:val="en-GB"/>
        </w:rPr>
        <w:t>: Define the PDSCH demodulation requirement for a 70% relative throughput target.</w:t>
      </w:r>
    </w:p>
    <w:p w14:paraId="31D55F5C" w14:textId="77777777" w:rsidR="004A23E2" w:rsidRPr="002D22B2" w:rsidRDefault="004A23E2" w:rsidP="004A23E2">
      <w:pPr>
        <w:spacing w:after="120"/>
        <w:rPr>
          <w:b/>
          <w:bCs/>
          <w:sz w:val="20"/>
          <w:szCs w:val="20"/>
          <w:lang w:val="en-GB"/>
        </w:rPr>
      </w:pPr>
      <w:r w:rsidRPr="002D22B2">
        <w:rPr>
          <w:b/>
          <w:bCs/>
          <w:sz w:val="20"/>
          <w:szCs w:val="20"/>
          <w:u w:val="single"/>
          <w:lang w:val="en-GB"/>
        </w:rPr>
        <w:t>Observation 4</w:t>
      </w:r>
      <w:r w:rsidRPr="002D22B2">
        <w:rPr>
          <w:b/>
          <w:bCs/>
          <w:sz w:val="20"/>
          <w:szCs w:val="20"/>
          <w:lang w:val="en-GB"/>
        </w:rPr>
        <w:t xml:space="preserve">: RAN4 has tentatively agreed that for Type-2 UE in NR-CA, both </w:t>
      </w:r>
      <w:proofErr w:type="spellStart"/>
      <w:r w:rsidRPr="002D22B2">
        <w:rPr>
          <w:b/>
          <w:bCs/>
          <w:sz w:val="20"/>
          <w:szCs w:val="20"/>
          <w:lang w:val="en-GB"/>
        </w:rPr>
        <w:t>PCell</w:t>
      </w:r>
      <w:proofErr w:type="spellEnd"/>
      <w:r w:rsidRPr="002D22B2">
        <w:rPr>
          <w:b/>
          <w:bCs/>
          <w:sz w:val="20"/>
          <w:szCs w:val="20"/>
          <w:lang w:val="en-GB"/>
        </w:rPr>
        <w:t xml:space="preserve"> and </w:t>
      </w:r>
      <w:proofErr w:type="spellStart"/>
      <w:r w:rsidRPr="002D22B2">
        <w:rPr>
          <w:b/>
          <w:bCs/>
          <w:sz w:val="20"/>
          <w:szCs w:val="20"/>
          <w:lang w:val="en-GB"/>
        </w:rPr>
        <w:t>SCell</w:t>
      </w:r>
      <w:proofErr w:type="spellEnd"/>
      <w:r w:rsidRPr="002D22B2">
        <w:rPr>
          <w:b/>
          <w:bCs/>
          <w:sz w:val="20"/>
          <w:szCs w:val="20"/>
          <w:lang w:val="en-GB"/>
        </w:rPr>
        <w:t xml:space="preserve"> will be measured at the same time. </w:t>
      </w:r>
    </w:p>
    <w:p w14:paraId="61B82489" w14:textId="77777777" w:rsidR="004A23E2" w:rsidRDefault="004A23E2" w:rsidP="004A23E2">
      <w:pPr>
        <w:spacing w:after="120"/>
        <w:rPr>
          <w:b/>
          <w:bCs/>
          <w:sz w:val="20"/>
          <w:szCs w:val="20"/>
          <w:lang w:val="en-GB"/>
        </w:rPr>
      </w:pPr>
      <w:r w:rsidRPr="002D22B2">
        <w:rPr>
          <w:b/>
          <w:bCs/>
          <w:sz w:val="20"/>
          <w:szCs w:val="20"/>
          <w:u w:val="single"/>
          <w:lang w:val="en-GB"/>
        </w:rPr>
        <w:t>Observation 5</w:t>
      </w:r>
      <w:r w:rsidRPr="002D22B2">
        <w:rPr>
          <w:b/>
          <w:bCs/>
          <w:sz w:val="20"/>
          <w:szCs w:val="20"/>
          <w:lang w:val="en-GB"/>
        </w:rPr>
        <w:t>: Previous EN-DC NR-CA tests will always measure the per-carrier throughput, measuring only one carrier at a time.</w:t>
      </w:r>
    </w:p>
    <w:p w14:paraId="187D26FD" w14:textId="77777777" w:rsidR="004A23E2" w:rsidRDefault="004A23E2" w:rsidP="004A23E2">
      <w:pPr>
        <w:spacing w:after="120"/>
        <w:rPr>
          <w:b/>
          <w:bCs/>
          <w:sz w:val="20"/>
          <w:szCs w:val="20"/>
          <w:lang w:val="en-GB"/>
        </w:rPr>
      </w:pPr>
      <w:r w:rsidRPr="002D22B2">
        <w:rPr>
          <w:b/>
          <w:bCs/>
          <w:sz w:val="20"/>
          <w:szCs w:val="20"/>
          <w:u w:val="single"/>
          <w:lang w:val="en-GB"/>
        </w:rPr>
        <w:t>Proposal 3</w:t>
      </w:r>
      <w:r w:rsidRPr="002D22B2">
        <w:rPr>
          <w:b/>
          <w:bCs/>
          <w:sz w:val="20"/>
          <w:szCs w:val="20"/>
          <w:lang w:val="en-GB"/>
        </w:rPr>
        <w:t>: Choose a</w:t>
      </w:r>
      <w:r>
        <w:rPr>
          <w:b/>
          <w:bCs/>
          <w:sz w:val="20"/>
          <w:szCs w:val="20"/>
          <w:lang w:val="en-GB"/>
        </w:rPr>
        <w:t xml:space="preserve">n </w:t>
      </w:r>
      <w:r w:rsidRPr="002D22B2">
        <w:rPr>
          <w:b/>
          <w:bCs/>
          <w:sz w:val="20"/>
          <w:szCs w:val="20"/>
          <w:lang w:val="en-GB"/>
        </w:rPr>
        <w:t>MCS</w:t>
      </w:r>
      <w:r>
        <w:rPr>
          <w:b/>
          <w:bCs/>
          <w:sz w:val="20"/>
          <w:szCs w:val="20"/>
          <w:lang w:val="en-GB"/>
        </w:rPr>
        <w:t xml:space="preserve"> value for the weakest carrier that is consistent to the received power regime defined for Type-2 UE requirements, since there is no added value in measure both </w:t>
      </w:r>
      <w:proofErr w:type="spellStart"/>
      <w:r>
        <w:rPr>
          <w:b/>
          <w:bCs/>
          <w:sz w:val="20"/>
          <w:szCs w:val="20"/>
          <w:lang w:val="en-GB"/>
        </w:rPr>
        <w:t>PCell</w:t>
      </w:r>
      <w:proofErr w:type="spellEnd"/>
      <w:r>
        <w:rPr>
          <w:b/>
          <w:bCs/>
          <w:sz w:val="20"/>
          <w:szCs w:val="20"/>
          <w:lang w:val="en-GB"/>
        </w:rPr>
        <w:t xml:space="preserve"> and </w:t>
      </w:r>
      <w:proofErr w:type="spellStart"/>
      <w:r>
        <w:rPr>
          <w:b/>
          <w:bCs/>
          <w:sz w:val="20"/>
          <w:szCs w:val="20"/>
          <w:lang w:val="en-GB"/>
        </w:rPr>
        <w:t>SCell</w:t>
      </w:r>
      <w:proofErr w:type="spellEnd"/>
      <w:r>
        <w:rPr>
          <w:b/>
          <w:bCs/>
          <w:sz w:val="20"/>
          <w:szCs w:val="20"/>
          <w:lang w:val="en-GB"/>
        </w:rPr>
        <w:t>, and even less if they are measured at the same time.</w:t>
      </w:r>
    </w:p>
    <w:p w14:paraId="142C669B" w14:textId="77777777" w:rsidR="004A23E2" w:rsidRDefault="004A23E2" w:rsidP="004A23E2">
      <w:pPr>
        <w:spacing w:after="120"/>
        <w:rPr>
          <w:sz w:val="20"/>
          <w:szCs w:val="20"/>
        </w:rPr>
      </w:pPr>
      <w:r w:rsidRPr="002D22B2">
        <w:rPr>
          <w:b/>
          <w:bCs/>
          <w:sz w:val="20"/>
          <w:szCs w:val="20"/>
          <w:u w:val="single"/>
          <w:lang w:val="en-GB"/>
        </w:rPr>
        <w:t>Proposal 4</w:t>
      </w:r>
      <w:r w:rsidRPr="002D22B2">
        <w:rPr>
          <w:b/>
          <w:bCs/>
          <w:sz w:val="20"/>
          <w:szCs w:val="20"/>
          <w:lang w:val="en-GB"/>
        </w:rPr>
        <w:t>: RAN4 discuss what specific implementation assumptions are made by contributing companies that justify</w:t>
      </w:r>
      <w:r>
        <w:rPr>
          <w:b/>
          <w:bCs/>
          <w:sz w:val="20"/>
          <w:szCs w:val="20"/>
          <w:lang w:val="en-GB"/>
        </w:rPr>
        <w:t xml:space="preserve"> that the throughput of</w:t>
      </w:r>
      <w:r w:rsidRPr="002D22B2">
        <w:rPr>
          <w:b/>
          <w:bCs/>
          <w:sz w:val="20"/>
          <w:szCs w:val="20"/>
          <w:lang w:val="en-GB"/>
        </w:rPr>
        <w:t xml:space="preserve"> both </w:t>
      </w:r>
      <w:proofErr w:type="spellStart"/>
      <w:r w:rsidRPr="002D22B2">
        <w:rPr>
          <w:b/>
          <w:bCs/>
          <w:sz w:val="20"/>
          <w:szCs w:val="20"/>
          <w:lang w:val="en-GB"/>
        </w:rPr>
        <w:t>PCell</w:t>
      </w:r>
      <w:proofErr w:type="spellEnd"/>
      <w:r w:rsidRPr="002D22B2">
        <w:rPr>
          <w:b/>
          <w:bCs/>
          <w:sz w:val="20"/>
          <w:szCs w:val="20"/>
          <w:lang w:val="en-GB"/>
        </w:rPr>
        <w:t xml:space="preserve"> and </w:t>
      </w:r>
      <w:proofErr w:type="spellStart"/>
      <w:r w:rsidRPr="002D22B2">
        <w:rPr>
          <w:b/>
          <w:bCs/>
          <w:sz w:val="20"/>
          <w:szCs w:val="20"/>
          <w:lang w:val="en-GB"/>
        </w:rPr>
        <w:t>SCell</w:t>
      </w:r>
      <w:proofErr w:type="spellEnd"/>
      <w:r w:rsidRPr="002D22B2">
        <w:rPr>
          <w:b/>
          <w:bCs/>
          <w:sz w:val="20"/>
          <w:szCs w:val="20"/>
          <w:lang w:val="en-GB"/>
        </w:rPr>
        <w:t xml:space="preserve"> will be measured at the same time</w:t>
      </w:r>
      <w:r>
        <w:rPr>
          <w:b/>
          <w:bCs/>
          <w:sz w:val="20"/>
          <w:szCs w:val="20"/>
          <w:lang w:val="en-GB"/>
        </w:rPr>
        <w:t>, deviating from previous CA methodology.</w:t>
      </w:r>
    </w:p>
    <w:p w14:paraId="2108205B" w14:textId="7DDC5A41" w:rsidR="00122E8B" w:rsidRPr="00122E8B" w:rsidRDefault="009F52D7" w:rsidP="00122E8B">
      <w:pPr>
        <w:pStyle w:val="Heading1"/>
        <w:ind w:left="432" w:hanging="432"/>
        <w:rPr>
          <w:lang w:val="en-US"/>
        </w:rPr>
      </w:pPr>
      <w:r>
        <w:rPr>
          <w:lang w:val="en-US"/>
        </w:rPr>
        <w:lastRenderedPageBreak/>
        <w:t>Reference</w:t>
      </w:r>
      <w:r w:rsidR="00963D54">
        <w:rPr>
          <w:lang w:val="en-US"/>
        </w:rPr>
        <w:t>s</w:t>
      </w:r>
    </w:p>
    <w:p w14:paraId="223330A3" w14:textId="6CD2CE1E" w:rsidR="0012332D" w:rsidRPr="004C6C82" w:rsidRDefault="004C6C82" w:rsidP="0012332D">
      <w:pPr>
        <w:pStyle w:val="ListParagraph"/>
        <w:numPr>
          <w:ilvl w:val="0"/>
          <w:numId w:val="2"/>
        </w:numPr>
        <w:spacing w:after="120"/>
        <w:ind w:firstLineChars="0"/>
        <w:jc w:val="both"/>
        <w:rPr>
          <w:rFonts w:ascii="Times New Roman" w:eastAsia="Times New Roman" w:hAnsi="Times New Roman" w:cs="Times New Roman"/>
          <w:bCs/>
          <w:sz w:val="20"/>
          <w:szCs w:val="20"/>
          <w:lang w:eastAsia="en-US"/>
        </w:rPr>
      </w:pPr>
      <w:r w:rsidRPr="004C6C82">
        <w:rPr>
          <w:rFonts w:ascii="Times New Roman" w:eastAsia="Times New Roman" w:hAnsi="Times New Roman" w:cs="Times New Roman"/>
          <w:bCs/>
          <w:sz w:val="20"/>
          <w:szCs w:val="20"/>
          <w:lang w:val="en-GB" w:eastAsia="en-US"/>
        </w:rPr>
        <w:t>R4-2309807</w:t>
      </w:r>
      <w:r w:rsidRPr="004C6C82">
        <w:rPr>
          <w:rFonts w:ascii="Times New Roman" w:eastAsia="Times New Roman" w:hAnsi="Times New Roman" w:cs="Times New Roman"/>
          <w:bCs/>
          <w:sz w:val="20"/>
          <w:szCs w:val="20"/>
          <w:lang w:eastAsia="en-US"/>
        </w:rPr>
        <w:tab/>
      </w:r>
      <w:r>
        <w:rPr>
          <w:rFonts w:ascii="Times New Roman" w:eastAsia="Times New Roman" w:hAnsi="Times New Roman" w:cs="Times New Roman"/>
          <w:bCs/>
          <w:sz w:val="20"/>
          <w:szCs w:val="20"/>
          <w:lang w:eastAsia="en-US"/>
        </w:rPr>
        <w:t>, “</w:t>
      </w:r>
      <w:r w:rsidRPr="004C6C82">
        <w:rPr>
          <w:rFonts w:ascii="Times New Roman" w:eastAsia="Times New Roman" w:hAnsi="Times New Roman" w:cs="Times New Roman"/>
          <w:bCs/>
          <w:sz w:val="20"/>
          <w:szCs w:val="20"/>
          <w:lang w:val="en-GB" w:eastAsia="en-US"/>
        </w:rPr>
        <w:t xml:space="preserve">WF for </w:t>
      </w:r>
      <w:proofErr w:type="spellStart"/>
      <w:r w:rsidRPr="004C6C82">
        <w:rPr>
          <w:rFonts w:ascii="Times New Roman" w:eastAsia="Times New Roman" w:hAnsi="Times New Roman" w:cs="Times New Roman"/>
          <w:bCs/>
          <w:sz w:val="20"/>
          <w:szCs w:val="20"/>
          <w:lang w:val="en-GB" w:eastAsia="en-US"/>
        </w:rPr>
        <w:t>NonCol_intraB_ENDC_NR_CA_Demod</w:t>
      </w:r>
      <w:proofErr w:type="spellEnd"/>
      <w:r>
        <w:rPr>
          <w:rFonts w:ascii="Times New Roman" w:eastAsia="Times New Roman" w:hAnsi="Times New Roman" w:cs="Times New Roman"/>
          <w:bCs/>
          <w:sz w:val="20"/>
          <w:szCs w:val="20"/>
          <w:lang w:val="en-GB" w:eastAsia="en-US"/>
        </w:rPr>
        <w:t>”, Ericsson.</w:t>
      </w:r>
    </w:p>
    <w:p w14:paraId="57796A25" w14:textId="0F4B1C69" w:rsidR="00924CB2" w:rsidRPr="004E55BC" w:rsidRDefault="004C6C82" w:rsidP="004E55BC">
      <w:pPr>
        <w:pStyle w:val="ListParagraph"/>
        <w:numPr>
          <w:ilvl w:val="0"/>
          <w:numId w:val="2"/>
        </w:numPr>
        <w:spacing w:after="120"/>
        <w:ind w:firstLineChars="0"/>
        <w:jc w:val="both"/>
        <w:rPr>
          <w:rFonts w:ascii="Times New Roman" w:eastAsia="Times New Roman" w:hAnsi="Times New Roman" w:cs="Times New Roman"/>
          <w:sz w:val="20"/>
          <w:szCs w:val="20"/>
          <w:lang w:eastAsia="en-US"/>
        </w:rPr>
      </w:pPr>
      <w:r w:rsidRPr="004C6C82">
        <w:rPr>
          <w:rFonts w:ascii="Times New Roman" w:eastAsia="Times New Roman" w:hAnsi="Times New Roman" w:cs="Times New Roman"/>
          <w:sz w:val="20"/>
          <w:szCs w:val="20"/>
          <w:lang w:eastAsia="en-US"/>
        </w:rPr>
        <w:t>R4-2311306</w:t>
      </w:r>
      <w:r>
        <w:rPr>
          <w:rFonts w:ascii="Times New Roman" w:eastAsia="Times New Roman" w:hAnsi="Times New Roman" w:cs="Times New Roman"/>
          <w:sz w:val="20"/>
          <w:szCs w:val="20"/>
          <w:lang w:eastAsia="en-US"/>
        </w:rPr>
        <w:t>, “</w:t>
      </w:r>
      <w:r w:rsidRPr="004C6C82">
        <w:rPr>
          <w:rFonts w:ascii="Times New Roman" w:eastAsia="Times New Roman" w:hAnsi="Times New Roman" w:cs="Times New Roman"/>
          <w:sz w:val="20"/>
          <w:szCs w:val="20"/>
          <w:lang w:val="en-GB" w:eastAsia="en-US"/>
        </w:rPr>
        <w:t>On frequency separation for intra-band non-collocated CA</w:t>
      </w:r>
      <w:r>
        <w:rPr>
          <w:rFonts w:ascii="Times New Roman" w:eastAsia="Times New Roman" w:hAnsi="Times New Roman" w:cs="Times New Roman"/>
          <w:sz w:val="20"/>
          <w:szCs w:val="20"/>
          <w:lang w:val="en-GB" w:eastAsia="en-US"/>
        </w:rPr>
        <w:t>”, Apple Inc.</w:t>
      </w:r>
    </w:p>
    <w:sectPr w:rsidR="00924CB2" w:rsidRPr="004E55BC" w:rsidSect="00B10FA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10131" w14:textId="77777777" w:rsidR="00E73459" w:rsidRDefault="00E73459" w:rsidP="00F30E9C">
      <w:r>
        <w:separator/>
      </w:r>
    </w:p>
  </w:endnote>
  <w:endnote w:type="continuationSeparator" w:id="0">
    <w:p w14:paraId="48B6B1A0" w14:textId="77777777" w:rsidR="00E73459" w:rsidRDefault="00E73459" w:rsidP="00F30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81C04" w14:textId="77777777" w:rsidR="00E73459" w:rsidRDefault="00E73459" w:rsidP="00F30E9C">
      <w:r>
        <w:separator/>
      </w:r>
    </w:p>
  </w:footnote>
  <w:footnote w:type="continuationSeparator" w:id="0">
    <w:p w14:paraId="08D7B3F9" w14:textId="77777777" w:rsidR="00E73459" w:rsidRDefault="00E73459" w:rsidP="00F30E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6477AFA"/>
    <w:multiLevelType w:val="hybridMultilevel"/>
    <w:tmpl w:val="DA7674B8"/>
    <w:lvl w:ilvl="0" w:tplc="02749000">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3B5209A5"/>
    <w:multiLevelType w:val="multilevel"/>
    <w:tmpl w:val="4EE4056A"/>
    <w:lvl w:ilvl="0">
      <w:start w:val="3"/>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D1740F"/>
    <w:multiLevelType w:val="hybridMultilevel"/>
    <w:tmpl w:val="14626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8B2FB3"/>
    <w:multiLevelType w:val="multilevel"/>
    <w:tmpl w:val="F880E8F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Wingdings" w:eastAsia="SimSun" w:hAnsi="Wingdings"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D276219"/>
    <w:multiLevelType w:val="hybridMultilevel"/>
    <w:tmpl w:val="27DA510E"/>
    <w:lvl w:ilvl="0" w:tplc="C7FE1174">
      <w:start w:val="1"/>
      <mc:AlternateContent>
        <mc:Choice Requires="w14">
          <w:numFmt w:val="custom" w:format="0001, 0002, 0003, ..."/>
        </mc:Choice>
        <mc:Fallback>
          <w:numFmt w:val="decimal"/>
        </mc:Fallback>
      </mc:AlternateContent>
      <w:pStyle w:val="RowanParagraph"/>
      <w:lvlText w:val="[%1]"/>
      <w:lvlJc w:val="left"/>
      <w:pPr>
        <w:tabs>
          <w:tab w:val="num" w:pos="864"/>
        </w:tabs>
        <w:ind w:left="0" w:firstLine="0"/>
      </w:pPr>
      <w:rPr>
        <w:rFonts w:hint="default"/>
        <w:b/>
        <w:bCs/>
        <w:i w:val="0"/>
        <w:iCs w:val="0"/>
      </w:rPr>
    </w:lvl>
    <w:lvl w:ilvl="1" w:tplc="D4681730" w:tentative="1">
      <w:start w:val="1"/>
      <w:numFmt w:val="lowerLetter"/>
      <w:lvlText w:val="%2."/>
      <w:lvlJc w:val="left"/>
      <w:pPr>
        <w:ind w:left="1440" w:hanging="360"/>
      </w:pPr>
    </w:lvl>
    <w:lvl w:ilvl="2" w:tplc="F0B4E8D0" w:tentative="1">
      <w:start w:val="1"/>
      <w:numFmt w:val="lowerRoman"/>
      <w:lvlText w:val="%3."/>
      <w:lvlJc w:val="right"/>
      <w:pPr>
        <w:ind w:left="2160" w:hanging="180"/>
      </w:pPr>
    </w:lvl>
    <w:lvl w:ilvl="3" w:tplc="FF60D4AE" w:tentative="1">
      <w:start w:val="1"/>
      <w:numFmt w:val="decimal"/>
      <w:lvlText w:val="%4."/>
      <w:lvlJc w:val="left"/>
      <w:pPr>
        <w:ind w:left="2880" w:hanging="360"/>
      </w:pPr>
    </w:lvl>
    <w:lvl w:ilvl="4" w:tplc="AFC255DE" w:tentative="1">
      <w:start w:val="1"/>
      <w:numFmt w:val="lowerLetter"/>
      <w:lvlText w:val="%5."/>
      <w:lvlJc w:val="left"/>
      <w:pPr>
        <w:ind w:left="3600" w:hanging="360"/>
      </w:pPr>
    </w:lvl>
    <w:lvl w:ilvl="5" w:tplc="89620744" w:tentative="1">
      <w:start w:val="1"/>
      <w:numFmt w:val="lowerRoman"/>
      <w:lvlText w:val="%6."/>
      <w:lvlJc w:val="right"/>
      <w:pPr>
        <w:ind w:left="4320" w:hanging="180"/>
      </w:pPr>
    </w:lvl>
    <w:lvl w:ilvl="6" w:tplc="2AB8607A" w:tentative="1">
      <w:start w:val="1"/>
      <w:numFmt w:val="decimal"/>
      <w:lvlText w:val="%7."/>
      <w:lvlJc w:val="left"/>
      <w:pPr>
        <w:ind w:left="5040" w:hanging="360"/>
      </w:pPr>
    </w:lvl>
    <w:lvl w:ilvl="7" w:tplc="C322874E" w:tentative="1">
      <w:start w:val="1"/>
      <w:numFmt w:val="lowerLetter"/>
      <w:lvlText w:val="%8."/>
      <w:lvlJc w:val="left"/>
      <w:pPr>
        <w:ind w:left="5760" w:hanging="360"/>
      </w:pPr>
    </w:lvl>
    <w:lvl w:ilvl="8" w:tplc="331AE912" w:tentative="1">
      <w:start w:val="1"/>
      <w:numFmt w:val="lowerRoman"/>
      <w:lvlText w:val="%9."/>
      <w:lvlJc w:val="right"/>
      <w:pPr>
        <w:ind w:left="6480" w:hanging="180"/>
      </w:pPr>
    </w:lvl>
  </w:abstractNum>
  <w:abstractNum w:abstractNumId="13" w15:restartNumberingAfterBreak="0">
    <w:nsid w:val="72493D29"/>
    <w:multiLevelType w:val="multilevel"/>
    <w:tmpl w:val="B8669092"/>
    <w:styleLink w:val="CurrentList1"/>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765F6DA5"/>
    <w:multiLevelType w:val="hybridMultilevel"/>
    <w:tmpl w:val="3552165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A6A0C90"/>
    <w:multiLevelType w:val="hybridMultilevel"/>
    <w:tmpl w:val="DC624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B138B8"/>
    <w:multiLevelType w:val="hybridMultilevel"/>
    <w:tmpl w:val="B18C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4B1F60"/>
    <w:multiLevelType w:val="hybridMultilevel"/>
    <w:tmpl w:val="796A355E"/>
    <w:lvl w:ilvl="0" w:tplc="B0A0984E">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0567C9"/>
    <w:multiLevelType w:val="hybridMultilevel"/>
    <w:tmpl w:val="BF2A3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59338048">
    <w:abstractNumId w:val="6"/>
  </w:num>
  <w:num w:numId="2" w16cid:durableId="1198423226">
    <w:abstractNumId w:val="10"/>
  </w:num>
  <w:num w:numId="3" w16cid:durableId="1390378014">
    <w:abstractNumId w:val="9"/>
  </w:num>
  <w:num w:numId="4" w16cid:durableId="1651591391">
    <w:abstractNumId w:val="16"/>
  </w:num>
  <w:num w:numId="5" w16cid:durableId="1890266662">
    <w:abstractNumId w:val="17"/>
  </w:num>
  <w:num w:numId="6" w16cid:durableId="2122147124">
    <w:abstractNumId w:val="15"/>
  </w:num>
  <w:num w:numId="7" w16cid:durableId="1176337225">
    <w:abstractNumId w:val="0"/>
  </w:num>
  <w:num w:numId="8" w16cid:durableId="1785267409">
    <w:abstractNumId w:val="1"/>
  </w:num>
  <w:num w:numId="9" w16cid:durableId="130288661">
    <w:abstractNumId w:val="2"/>
  </w:num>
  <w:num w:numId="10" w16cid:durableId="1661690479">
    <w:abstractNumId w:val="19"/>
  </w:num>
  <w:num w:numId="11" w16cid:durableId="1597205487">
    <w:abstractNumId w:val="3"/>
  </w:num>
  <w:num w:numId="12" w16cid:durableId="1425761313">
    <w:abstractNumId w:val="12"/>
  </w:num>
  <w:num w:numId="13" w16cid:durableId="9255106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638577">
    <w:abstractNumId w:val="13"/>
  </w:num>
  <w:num w:numId="15" w16cid:durableId="146409650">
    <w:abstractNumId w:val="7"/>
  </w:num>
  <w:num w:numId="16" w16cid:durableId="721246799">
    <w:abstractNumId w:val="4"/>
  </w:num>
  <w:num w:numId="17" w16cid:durableId="1523208169">
    <w:abstractNumId w:val="11"/>
  </w:num>
  <w:num w:numId="18" w16cid:durableId="1419520909">
    <w:abstractNumId w:val="14"/>
  </w:num>
  <w:num w:numId="19" w16cid:durableId="553346791">
    <w:abstractNumId w:val="5"/>
  </w:num>
  <w:num w:numId="20" w16cid:durableId="946040074">
    <w:abstractNumId w:val="8"/>
  </w:num>
  <w:num w:numId="21" w16cid:durableId="15592440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2176"/>
    <w:rsid w:val="0000221D"/>
    <w:rsid w:val="0001052C"/>
    <w:rsid w:val="0003368D"/>
    <w:rsid w:val="00035CCF"/>
    <w:rsid w:val="00046431"/>
    <w:rsid w:val="00055C30"/>
    <w:rsid w:val="000676D8"/>
    <w:rsid w:val="00084F53"/>
    <w:rsid w:val="0008785A"/>
    <w:rsid w:val="000A0817"/>
    <w:rsid w:val="000B00C6"/>
    <w:rsid w:val="000E3270"/>
    <w:rsid w:val="000F29D8"/>
    <w:rsid w:val="000F617A"/>
    <w:rsid w:val="001136ED"/>
    <w:rsid w:val="001155C3"/>
    <w:rsid w:val="00121828"/>
    <w:rsid w:val="0012221A"/>
    <w:rsid w:val="00122E8B"/>
    <w:rsid w:val="0012332D"/>
    <w:rsid w:val="00124EF2"/>
    <w:rsid w:val="001325EA"/>
    <w:rsid w:val="001333E6"/>
    <w:rsid w:val="001478D2"/>
    <w:rsid w:val="00162A29"/>
    <w:rsid w:val="0016792E"/>
    <w:rsid w:val="00177147"/>
    <w:rsid w:val="001A0C7C"/>
    <w:rsid w:val="001A28CA"/>
    <w:rsid w:val="001B161F"/>
    <w:rsid w:val="001B5D0A"/>
    <w:rsid w:val="001B64EF"/>
    <w:rsid w:val="001C3450"/>
    <w:rsid w:val="001C663E"/>
    <w:rsid w:val="001C6BE1"/>
    <w:rsid w:val="001E0DE1"/>
    <w:rsid w:val="001E2909"/>
    <w:rsid w:val="002101FE"/>
    <w:rsid w:val="0021168F"/>
    <w:rsid w:val="002173FA"/>
    <w:rsid w:val="0021754E"/>
    <w:rsid w:val="00250591"/>
    <w:rsid w:val="002670AF"/>
    <w:rsid w:val="00281E49"/>
    <w:rsid w:val="002870EA"/>
    <w:rsid w:val="002872FC"/>
    <w:rsid w:val="00296939"/>
    <w:rsid w:val="002A3762"/>
    <w:rsid w:val="002B0573"/>
    <w:rsid w:val="002B47B4"/>
    <w:rsid w:val="002C47FE"/>
    <w:rsid w:val="002C5133"/>
    <w:rsid w:val="002D22B2"/>
    <w:rsid w:val="002F4FA3"/>
    <w:rsid w:val="00303609"/>
    <w:rsid w:val="00306288"/>
    <w:rsid w:val="00314E5E"/>
    <w:rsid w:val="00333F2C"/>
    <w:rsid w:val="00334CC9"/>
    <w:rsid w:val="003353C3"/>
    <w:rsid w:val="00343A95"/>
    <w:rsid w:val="003651C9"/>
    <w:rsid w:val="0038739B"/>
    <w:rsid w:val="0039010A"/>
    <w:rsid w:val="00395B04"/>
    <w:rsid w:val="003975FD"/>
    <w:rsid w:val="003A4D59"/>
    <w:rsid w:val="003C24F8"/>
    <w:rsid w:val="003D6FDD"/>
    <w:rsid w:val="003E46EC"/>
    <w:rsid w:val="00417094"/>
    <w:rsid w:val="00424A55"/>
    <w:rsid w:val="00453482"/>
    <w:rsid w:val="00471159"/>
    <w:rsid w:val="00473122"/>
    <w:rsid w:val="00495384"/>
    <w:rsid w:val="0049686E"/>
    <w:rsid w:val="004A23E2"/>
    <w:rsid w:val="004A2444"/>
    <w:rsid w:val="004A5B90"/>
    <w:rsid w:val="004B238C"/>
    <w:rsid w:val="004B5813"/>
    <w:rsid w:val="004C6C82"/>
    <w:rsid w:val="004D1584"/>
    <w:rsid w:val="004D7DFF"/>
    <w:rsid w:val="004E36A1"/>
    <w:rsid w:val="004E55BC"/>
    <w:rsid w:val="00506A0F"/>
    <w:rsid w:val="00525C94"/>
    <w:rsid w:val="00540C1A"/>
    <w:rsid w:val="00543313"/>
    <w:rsid w:val="00555B06"/>
    <w:rsid w:val="00556D48"/>
    <w:rsid w:val="0057184D"/>
    <w:rsid w:val="005970D0"/>
    <w:rsid w:val="005A1B6E"/>
    <w:rsid w:val="005B0EBF"/>
    <w:rsid w:val="005B410D"/>
    <w:rsid w:val="005B6F4C"/>
    <w:rsid w:val="005D1B1F"/>
    <w:rsid w:val="005D390D"/>
    <w:rsid w:val="005F784F"/>
    <w:rsid w:val="00616E09"/>
    <w:rsid w:val="00621D7B"/>
    <w:rsid w:val="00626BDE"/>
    <w:rsid w:val="00626E68"/>
    <w:rsid w:val="0063070C"/>
    <w:rsid w:val="0063185F"/>
    <w:rsid w:val="0064329A"/>
    <w:rsid w:val="00656EBD"/>
    <w:rsid w:val="00696266"/>
    <w:rsid w:val="006A3780"/>
    <w:rsid w:val="006B1579"/>
    <w:rsid w:val="006E37C8"/>
    <w:rsid w:val="006E3972"/>
    <w:rsid w:val="006F5727"/>
    <w:rsid w:val="006F6FE1"/>
    <w:rsid w:val="00706613"/>
    <w:rsid w:val="00730BC2"/>
    <w:rsid w:val="00774586"/>
    <w:rsid w:val="00775238"/>
    <w:rsid w:val="00781B00"/>
    <w:rsid w:val="00795EF3"/>
    <w:rsid w:val="007A1BB1"/>
    <w:rsid w:val="007A3BE1"/>
    <w:rsid w:val="007B6FFB"/>
    <w:rsid w:val="007C3019"/>
    <w:rsid w:val="007C626C"/>
    <w:rsid w:val="007C7349"/>
    <w:rsid w:val="007F178A"/>
    <w:rsid w:val="008056E3"/>
    <w:rsid w:val="008069DA"/>
    <w:rsid w:val="00807AC7"/>
    <w:rsid w:val="00825DC0"/>
    <w:rsid w:val="00837356"/>
    <w:rsid w:val="00845611"/>
    <w:rsid w:val="00852545"/>
    <w:rsid w:val="0085552D"/>
    <w:rsid w:val="00866E27"/>
    <w:rsid w:val="0087401C"/>
    <w:rsid w:val="00877738"/>
    <w:rsid w:val="00880B5A"/>
    <w:rsid w:val="00894A95"/>
    <w:rsid w:val="008A0AC7"/>
    <w:rsid w:val="008A1A32"/>
    <w:rsid w:val="008B3E00"/>
    <w:rsid w:val="008B7390"/>
    <w:rsid w:val="008D2F89"/>
    <w:rsid w:val="008E15BC"/>
    <w:rsid w:val="008E2187"/>
    <w:rsid w:val="008E7F03"/>
    <w:rsid w:val="008F57EB"/>
    <w:rsid w:val="00924CB2"/>
    <w:rsid w:val="00932C93"/>
    <w:rsid w:val="00937490"/>
    <w:rsid w:val="0094048B"/>
    <w:rsid w:val="00951300"/>
    <w:rsid w:val="00956F4E"/>
    <w:rsid w:val="00963D54"/>
    <w:rsid w:val="009658F3"/>
    <w:rsid w:val="00970536"/>
    <w:rsid w:val="009735BB"/>
    <w:rsid w:val="00976E0B"/>
    <w:rsid w:val="00996052"/>
    <w:rsid w:val="009A06BF"/>
    <w:rsid w:val="009D596C"/>
    <w:rsid w:val="009E6659"/>
    <w:rsid w:val="009F38B1"/>
    <w:rsid w:val="009F52D7"/>
    <w:rsid w:val="009F7E2A"/>
    <w:rsid w:val="00A00958"/>
    <w:rsid w:val="00A02A1D"/>
    <w:rsid w:val="00A11ACD"/>
    <w:rsid w:val="00A211CC"/>
    <w:rsid w:val="00A22560"/>
    <w:rsid w:val="00A341D6"/>
    <w:rsid w:val="00A443D2"/>
    <w:rsid w:val="00A44672"/>
    <w:rsid w:val="00A53D2C"/>
    <w:rsid w:val="00A56D6E"/>
    <w:rsid w:val="00A77341"/>
    <w:rsid w:val="00A832C7"/>
    <w:rsid w:val="00A8527E"/>
    <w:rsid w:val="00A86E4A"/>
    <w:rsid w:val="00A901A0"/>
    <w:rsid w:val="00A977CC"/>
    <w:rsid w:val="00AC503C"/>
    <w:rsid w:val="00AC5541"/>
    <w:rsid w:val="00AD3B58"/>
    <w:rsid w:val="00AF34A1"/>
    <w:rsid w:val="00B40D6F"/>
    <w:rsid w:val="00B4477F"/>
    <w:rsid w:val="00B50174"/>
    <w:rsid w:val="00B60ADA"/>
    <w:rsid w:val="00B8567C"/>
    <w:rsid w:val="00B96332"/>
    <w:rsid w:val="00BB12CF"/>
    <w:rsid w:val="00BC07AA"/>
    <w:rsid w:val="00BE371C"/>
    <w:rsid w:val="00BE5A98"/>
    <w:rsid w:val="00BF2E35"/>
    <w:rsid w:val="00C448B8"/>
    <w:rsid w:val="00C53127"/>
    <w:rsid w:val="00C6373D"/>
    <w:rsid w:val="00C656D5"/>
    <w:rsid w:val="00C719F6"/>
    <w:rsid w:val="00C759F9"/>
    <w:rsid w:val="00C809F4"/>
    <w:rsid w:val="00C82165"/>
    <w:rsid w:val="00C8694F"/>
    <w:rsid w:val="00C870BE"/>
    <w:rsid w:val="00C91A39"/>
    <w:rsid w:val="00C927E5"/>
    <w:rsid w:val="00C94AC7"/>
    <w:rsid w:val="00C95EBD"/>
    <w:rsid w:val="00CA1B87"/>
    <w:rsid w:val="00CA258C"/>
    <w:rsid w:val="00CD0F63"/>
    <w:rsid w:val="00CD22D1"/>
    <w:rsid w:val="00CD4875"/>
    <w:rsid w:val="00CE0F08"/>
    <w:rsid w:val="00CF2DC7"/>
    <w:rsid w:val="00D03ABF"/>
    <w:rsid w:val="00D20BAA"/>
    <w:rsid w:val="00D2109F"/>
    <w:rsid w:val="00D313D2"/>
    <w:rsid w:val="00D468F9"/>
    <w:rsid w:val="00D601BB"/>
    <w:rsid w:val="00D62653"/>
    <w:rsid w:val="00D6276A"/>
    <w:rsid w:val="00D85753"/>
    <w:rsid w:val="00DB1338"/>
    <w:rsid w:val="00DB6943"/>
    <w:rsid w:val="00DC15F7"/>
    <w:rsid w:val="00DD5725"/>
    <w:rsid w:val="00DD58AC"/>
    <w:rsid w:val="00DE3A30"/>
    <w:rsid w:val="00DE50C3"/>
    <w:rsid w:val="00DF1ED2"/>
    <w:rsid w:val="00DF7B4C"/>
    <w:rsid w:val="00E032DE"/>
    <w:rsid w:val="00E04D98"/>
    <w:rsid w:val="00E16C3E"/>
    <w:rsid w:val="00E42255"/>
    <w:rsid w:val="00E47A91"/>
    <w:rsid w:val="00E5586A"/>
    <w:rsid w:val="00E72423"/>
    <w:rsid w:val="00E73459"/>
    <w:rsid w:val="00E9138B"/>
    <w:rsid w:val="00E93423"/>
    <w:rsid w:val="00EA3ADD"/>
    <w:rsid w:val="00EA4E79"/>
    <w:rsid w:val="00EB4612"/>
    <w:rsid w:val="00EC2A97"/>
    <w:rsid w:val="00EC4082"/>
    <w:rsid w:val="00EE26D3"/>
    <w:rsid w:val="00EF2605"/>
    <w:rsid w:val="00EF3C17"/>
    <w:rsid w:val="00EF7A91"/>
    <w:rsid w:val="00F01B56"/>
    <w:rsid w:val="00F222B5"/>
    <w:rsid w:val="00F22854"/>
    <w:rsid w:val="00F265AC"/>
    <w:rsid w:val="00F30E9C"/>
    <w:rsid w:val="00F441E8"/>
    <w:rsid w:val="00F61FC2"/>
    <w:rsid w:val="00F73981"/>
    <w:rsid w:val="00F810A6"/>
    <w:rsid w:val="00F94542"/>
    <w:rsid w:val="00F96386"/>
    <w:rsid w:val="00FB1CB8"/>
    <w:rsid w:val="00FB2CF7"/>
    <w:rsid w:val="00FC4CFF"/>
    <w:rsid w:val="00FC77F1"/>
    <w:rsid w:val="00FE40A5"/>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2B2"/>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semiHidden/>
    <w:unhideWhenUsed/>
    <w:qFormat/>
    <w:rsid w:val="00D2109F"/>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A28CA"/>
    <w:pPr>
      <w:keepNext/>
      <w:keepLines/>
      <w:spacing w:before="40"/>
      <w:jc w:val="both"/>
      <w:outlineLvl w:val="3"/>
    </w:pPr>
    <w:rPr>
      <w:rFonts w:asciiTheme="majorHAnsi" w:eastAsiaTheme="majorEastAsia" w:hAnsiTheme="majorHAnsi" w:cstheme="majorBidi"/>
      <w:i/>
      <w:iCs/>
      <w:color w:val="2F5496" w:themeColor="accent1" w:themeShade="BF"/>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 ??,?????,????,Lista1,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 ?? Char,????? Char,???? Char,Lista1 Char,中等深浅网格 1 - 着色 21 Char,列表段落 Char,목록 단락 Char,リスト段落 Char,列出段落1 Char,¥¡¡¡¡ì¬º¥¹¥È¶ÎÂä Char,ÁÐ³ö¶ÎÂä Char,列表段落1 Char,—ño’i—Ž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pPr>
      <w:jc w:val="both"/>
    </w:pPr>
    <w:rPr>
      <w:rFonts w:eastAsiaTheme="minorHAnsi"/>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aliases w:val="TableGrid"/>
    <w:basedOn w:val="TableNormal"/>
    <w:uiPriority w:val="39"/>
    <w:qFormat/>
    <w:rsid w:val="00CD22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1A28CA"/>
    <w:rPr>
      <w:rFonts w:asciiTheme="majorHAnsi" w:eastAsiaTheme="majorEastAsia" w:hAnsiTheme="majorHAnsi" w:cstheme="majorBidi"/>
      <w:i/>
      <w:iCs/>
      <w:color w:val="2F5496" w:themeColor="accent1" w:themeShade="BF"/>
      <w:sz w:val="21"/>
      <w:szCs w:val="21"/>
    </w:rPr>
  </w:style>
  <w:style w:type="paragraph" w:customStyle="1" w:styleId="TAH">
    <w:name w:val="TAH"/>
    <w:basedOn w:val="TAC"/>
    <w:link w:val="TAHCar"/>
    <w:qFormat/>
    <w:rsid w:val="001A28CA"/>
    <w:rPr>
      <w:b/>
    </w:rPr>
  </w:style>
  <w:style w:type="paragraph" w:customStyle="1" w:styleId="TAC">
    <w:name w:val="TAC"/>
    <w:basedOn w:val="Normal"/>
    <w:link w:val="TACChar"/>
    <w:qFormat/>
    <w:rsid w:val="001A28CA"/>
    <w:pPr>
      <w:keepNext/>
      <w:keepLines/>
      <w:jc w:val="center"/>
    </w:pPr>
    <w:rPr>
      <w:rFonts w:ascii="Arial" w:eastAsiaTheme="minorHAnsi" w:hAnsi="Arial" w:cstheme="minorBidi"/>
      <w:sz w:val="18"/>
    </w:rPr>
  </w:style>
  <w:style w:type="character" w:customStyle="1" w:styleId="TACChar">
    <w:name w:val="TAC Char"/>
    <w:link w:val="TAC"/>
    <w:qFormat/>
    <w:rsid w:val="001A28CA"/>
    <w:rPr>
      <w:rFonts w:ascii="Arial" w:hAnsi="Arial"/>
      <w:sz w:val="18"/>
    </w:rPr>
  </w:style>
  <w:style w:type="character" w:customStyle="1" w:styleId="TAHCar">
    <w:name w:val="TAH Car"/>
    <w:link w:val="TAH"/>
    <w:qFormat/>
    <w:rsid w:val="001A28CA"/>
    <w:rPr>
      <w:rFonts w:ascii="Arial" w:hAnsi="Arial"/>
      <w:b/>
      <w:sz w:val="18"/>
    </w:rPr>
  </w:style>
  <w:style w:type="paragraph" w:styleId="NormalWeb">
    <w:name w:val="Normal (Web)"/>
    <w:basedOn w:val="Normal"/>
    <w:uiPriority w:val="99"/>
    <w:semiHidden/>
    <w:unhideWhenUsed/>
    <w:rsid w:val="009735BB"/>
    <w:pPr>
      <w:spacing w:before="100" w:beforeAutospacing="1" w:after="100" w:afterAutospacing="1"/>
    </w:pPr>
  </w:style>
  <w:style w:type="paragraph" w:styleId="Caption">
    <w:name w:val="caption"/>
    <w:basedOn w:val="Normal"/>
    <w:next w:val="Normal"/>
    <w:uiPriority w:val="35"/>
    <w:unhideWhenUsed/>
    <w:qFormat/>
    <w:rsid w:val="009735BB"/>
    <w:pPr>
      <w:spacing w:after="200"/>
      <w:jc w:val="both"/>
    </w:pPr>
    <w:rPr>
      <w:rFonts w:eastAsiaTheme="minorHAnsi"/>
      <w:i/>
      <w:iCs/>
      <w:color w:val="44546A" w:themeColor="text2"/>
      <w:sz w:val="18"/>
      <w:szCs w:val="18"/>
    </w:rPr>
  </w:style>
  <w:style w:type="character" w:customStyle="1" w:styleId="Heading3Char">
    <w:name w:val="Heading 3 Char"/>
    <w:basedOn w:val="DefaultParagraphFont"/>
    <w:link w:val="Heading3"/>
    <w:uiPriority w:val="9"/>
    <w:semiHidden/>
    <w:rsid w:val="00D2109F"/>
    <w:rPr>
      <w:rFonts w:asciiTheme="majorHAnsi" w:eastAsiaTheme="majorEastAsia" w:hAnsiTheme="majorHAnsi" w:cstheme="majorBidi"/>
      <w:color w:val="1F3763" w:themeColor="accent1" w:themeShade="7F"/>
    </w:rPr>
  </w:style>
  <w:style w:type="character" w:styleId="Hyperlink">
    <w:name w:val="Hyperlink"/>
    <w:basedOn w:val="DefaultParagraphFont"/>
    <w:uiPriority w:val="99"/>
    <w:unhideWhenUsed/>
    <w:rsid w:val="00122E8B"/>
    <w:rPr>
      <w:color w:val="0563C1" w:themeColor="hyperlink"/>
      <w:u w:val="single"/>
    </w:rPr>
  </w:style>
  <w:style w:type="character" w:styleId="UnresolvedMention">
    <w:name w:val="Unresolved Mention"/>
    <w:basedOn w:val="DefaultParagraphFont"/>
    <w:uiPriority w:val="99"/>
    <w:semiHidden/>
    <w:unhideWhenUsed/>
    <w:rsid w:val="00122E8B"/>
    <w:rPr>
      <w:color w:val="605E5C"/>
      <w:shd w:val="clear" w:color="auto" w:fill="E1DFDD"/>
    </w:rPr>
  </w:style>
  <w:style w:type="paragraph" w:customStyle="1" w:styleId="RowanParagraph">
    <w:name w:val="Rowan Paragraph"/>
    <w:basedOn w:val="Normal"/>
    <w:qFormat/>
    <w:rsid w:val="00556D48"/>
    <w:pPr>
      <w:numPr>
        <w:numId w:val="12"/>
      </w:numPr>
      <w:spacing w:before="60" w:line="360" w:lineRule="auto"/>
    </w:pPr>
    <w:rPr>
      <w:rFonts w:eastAsiaTheme="majorEastAsia" w:cstheme="majorBidi"/>
      <w:color w:val="000000" w:themeColor="text1"/>
      <w:spacing w:val="5"/>
      <w:kern w:val="28"/>
    </w:rPr>
  </w:style>
  <w:style w:type="numbering" w:customStyle="1" w:styleId="CurrentList1">
    <w:name w:val="Current List1"/>
    <w:uiPriority w:val="99"/>
    <w:rsid w:val="005A1B6E"/>
    <w:pPr>
      <w:numPr>
        <w:numId w:val="14"/>
      </w:numPr>
    </w:pPr>
  </w:style>
  <w:style w:type="paragraph" w:styleId="Footer">
    <w:name w:val="footer"/>
    <w:basedOn w:val="Normal"/>
    <w:link w:val="FooterChar"/>
    <w:uiPriority w:val="99"/>
    <w:unhideWhenUsed/>
    <w:rsid w:val="00F30E9C"/>
    <w:pPr>
      <w:tabs>
        <w:tab w:val="center" w:pos="4513"/>
        <w:tab w:val="right" w:pos="9026"/>
      </w:tabs>
    </w:pPr>
  </w:style>
  <w:style w:type="character" w:customStyle="1" w:styleId="FooterChar">
    <w:name w:val="Footer Char"/>
    <w:basedOn w:val="DefaultParagraphFont"/>
    <w:link w:val="Footer"/>
    <w:uiPriority w:val="99"/>
    <w:rsid w:val="00F30E9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42">
      <w:bodyDiv w:val="1"/>
      <w:marLeft w:val="0"/>
      <w:marRight w:val="0"/>
      <w:marTop w:val="0"/>
      <w:marBottom w:val="0"/>
      <w:divBdr>
        <w:top w:val="none" w:sz="0" w:space="0" w:color="auto"/>
        <w:left w:val="none" w:sz="0" w:space="0" w:color="auto"/>
        <w:bottom w:val="none" w:sz="0" w:space="0" w:color="auto"/>
        <w:right w:val="none" w:sz="0" w:space="0" w:color="auto"/>
      </w:divBdr>
    </w:div>
    <w:div w:id="13190176">
      <w:bodyDiv w:val="1"/>
      <w:marLeft w:val="0"/>
      <w:marRight w:val="0"/>
      <w:marTop w:val="0"/>
      <w:marBottom w:val="0"/>
      <w:divBdr>
        <w:top w:val="none" w:sz="0" w:space="0" w:color="auto"/>
        <w:left w:val="none" w:sz="0" w:space="0" w:color="auto"/>
        <w:bottom w:val="none" w:sz="0" w:space="0" w:color="auto"/>
        <w:right w:val="none" w:sz="0" w:space="0" w:color="auto"/>
      </w:divBdr>
    </w:div>
    <w:div w:id="169031578">
      <w:bodyDiv w:val="1"/>
      <w:marLeft w:val="0"/>
      <w:marRight w:val="0"/>
      <w:marTop w:val="0"/>
      <w:marBottom w:val="0"/>
      <w:divBdr>
        <w:top w:val="none" w:sz="0" w:space="0" w:color="auto"/>
        <w:left w:val="none" w:sz="0" w:space="0" w:color="auto"/>
        <w:bottom w:val="none" w:sz="0" w:space="0" w:color="auto"/>
        <w:right w:val="none" w:sz="0" w:space="0" w:color="auto"/>
      </w:divBdr>
      <w:divsChild>
        <w:div w:id="1270351679">
          <w:marLeft w:val="0"/>
          <w:marRight w:val="0"/>
          <w:marTop w:val="0"/>
          <w:marBottom w:val="0"/>
          <w:divBdr>
            <w:top w:val="none" w:sz="0" w:space="0" w:color="auto"/>
            <w:left w:val="none" w:sz="0" w:space="0" w:color="auto"/>
            <w:bottom w:val="none" w:sz="0" w:space="0" w:color="auto"/>
            <w:right w:val="none" w:sz="0" w:space="0" w:color="auto"/>
          </w:divBdr>
          <w:divsChild>
            <w:div w:id="111483014">
              <w:marLeft w:val="0"/>
              <w:marRight w:val="0"/>
              <w:marTop w:val="0"/>
              <w:marBottom w:val="0"/>
              <w:divBdr>
                <w:top w:val="none" w:sz="0" w:space="0" w:color="auto"/>
                <w:left w:val="none" w:sz="0" w:space="0" w:color="auto"/>
                <w:bottom w:val="none" w:sz="0" w:space="0" w:color="auto"/>
                <w:right w:val="none" w:sz="0" w:space="0" w:color="auto"/>
              </w:divBdr>
              <w:divsChild>
                <w:div w:id="999848145">
                  <w:marLeft w:val="0"/>
                  <w:marRight w:val="0"/>
                  <w:marTop w:val="0"/>
                  <w:marBottom w:val="0"/>
                  <w:divBdr>
                    <w:top w:val="none" w:sz="0" w:space="0" w:color="auto"/>
                    <w:left w:val="none" w:sz="0" w:space="0" w:color="auto"/>
                    <w:bottom w:val="none" w:sz="0" w:space="0" w:color="auto"/>
                    <w:right w:val="none" w:sz="0" w:space="0" w:color="auto"/>
                  </w:divBdr>
                  <w:divsChild>
                    <w:div w:id="177913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6863634">
      <w:bodyDiv w:val="1"/>
      <w:marLeft w:val="0"/>
      <w:marRight w:val="0"/>
      <w:marTop w:val="0"/>
      <w:marBottom w:val="0"/>
      <w:divBdr>
        <w:top w:val="none" w:sz="0" w:space="0" w:color="auto"/>
        <w:left w:val="none" w:sz="0" w:space="0" w:color="auto"/>
        <w:bottom w:val="none" w:sz="0" w:space="0" w:color="auto"/>
        <w:right w:val="none" w:sz="0" w:space="0" w:color="auto"/>
      </w:divBdr>
      <w:divsChild>
        <w:div w:id="1969700885">
          <w:marLeft w:val="0"/>
          <w:marRight w:val="0"/>
          <w:marTop w:val="0"/>
          <w:marBottom w:val="0"/>
          <w:divBdr>
            <w:top w:val="none" w:sz="0" w:space="0" w:color="auto"/>
            <w:left w:val="none" w:sz="0" w:space="0" w:color="auto"/>
            <w:bottom w:val="none" w:sz="0" w:space="0" w:color="auto"/>
            <w:right w:val="none" w:sz="0" w:space="0" w:color="auto"/>
          </w:divBdr>
          <w:divsChild>
            <w:div w:id="1611430683">
              <w:marLeft w:val="0"/>
              <w:marRight w:val="0"/>
              <w:marTop w:val="0"/>
              <w:marBottom w:val="0"/>
              <w:divBdr>
                <w:top w:val="none" w:sz="0" w:space="0" w:color="auto"/>
                <w:left w:val="none" w:sz="0" w:space="0" w:color="auto"/>
                <w:bottom w:val="none" w:sz="0" w:space="0" w:color="auto"/>
                <w:right w:val="none" w:sz="0" w:space="0" w:color="auto"/>
              </w:divBdr>
              <w:divsChild>
                <w:div w:id="82963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90691209">
      <w:bodyDiv w:val="1"/>
      <w:marLeft w:val="0"/>
      <w:marRight w:val="0"/>
      <w:marTop w:val="0"/>
      <w:marBottom w:val="0"/>
      <w:divBdr>
        <w:top w:val="none" w:sz="0" w:space="0" w:color="auto"/>
        <w:left w:val="none" w:sz="0" w:space="0" w:color="auto"/>
        <w:bottom w:val="none" w:sz="0" w:space="0" w:color="auto"/>
        <w:right w:val="none" w:sz="0" w:space="0" w:color="auto"/>
      </w:divBdr>
      <w:divsChild>
        <w:div w:id="1476531516">
          <w:marLeft w:val="0"/>
          <w:marRight w:val="0"/>
          <w:marTop w:val="0"/>
          <w:marBottom w:val="0"/>
          <w:divBdr>
            <w:top w:val="none" w:sz="0" w:space="0" w:color="auto"/>
            <w:left w:val="none" w:sz="0" w:space="0" w:color="auto"/>
            <w:bottom w:val="none" w:sz="0" w:space="0" w:color="auto"/>
            <w:right w:val="none" w:sz="0" w:space="0" w:color="auto"/>
          </w:divBdr>
          <w:divsChild>
            <w:div w:id="632060485">
              <w:marLeft w:val="0"/>
              <w:marRight w:val="0"/>
              <w:marTop w:val="0"/>
              <w:marBottom w:val="0"/>
              <w:divBdr>
                <w:top w:val="none" w:sz="0" w:space="0" w:color="auto"/>
                <w:left w:val="none" w:sz="0" w:space="0" w:color="auto"/>
                <w:bottom w:val="none" w:sz="0" w:space="0" w:color="auto"/>
                <w:right w:val="none" w:sz="0" w:space="0" w:color="auto"/>
              </w:divBdr>
              <w:divsChild>
                <w:div w:id="60622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21989">
      <w:bodyDiv w:val="1"/>
      <w:marLeft w:val="0"/>
      <w:marRight w:val="0"/>
      <w:marTop w:val="0"/>
      <w:marBottom w:val="0"/>
      <w:divBdr>
        <w:top w:val="none" w:sz="0" w:space="0" w:color="auto"/>
        <w:left w:val="none" w:sz="0" w:space="0" w:color="auto"/>
        <w:bottom w:val="none" w:sz="0" w:space="0" w:color="auto"/>
        <w:right w:val="none" w:sz="0" w:space="0" w:color="auto"/>
      </w:divBdr>
      <w:divsChild>
        <w:div w:id="2128238039">
          <w:marLeft w:val="0"/>
          <w:marRight w:val="0"/>
          <w:marTop w:val="0"/>
          <w:marBottom w:val="0"/>
          <w:divBdr>
            <w:top w:val="none" w:sz="0" w:space="0" w:color="auto"/>
            <w:left w:val="none" w:sz="0" w:space="0" w:color="auto"/>
            <w:bottom w:val="none" w:sz="0" w:space="0" w:color="auto"/>
            <w:right w:val="none" w:sz="0" w:space="0" w:color="auto"/>
          </w:divBdr>
          <w:divsChild>
            <w:div w:id="79718467">
              <w:marLeft w:val="0"/>
              <w:marRight w:val="0"/>
              <w:marTop w:val="0"/>
              <w:marBottom w:val="0"/>
              <w:divBdr>
                <w:top w:val="none" w:sz="0" w:space="0" w:color="auto"/>
                <w:left w:val="none" w:sz="0" w:space="0" w:color="auto"/>
                <w:bottom w:val="none" w:sz="0" w:space="0" w:color="auto"/>
                <w:right w:val="none" w:sz="0" w:space="0" w:color="auto"/>
              </w:divBdr>
              <w:divsChild>
                <w:div w:id="107165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064394">
      <w:bodyDiv w:val="1"/>
      <w:marLeft w:val="0"/>
      <w:marRight w:val="0"/>
      <w:marTop w:val="0"/>
      <w:marBottom w:val="0"/>
      <w:divBdr>
        <w:top w:val="none" w:sz="0" w:space="0" w:color="auto"/>
        <w:left w:val="none" w:sz="0" w:space="0" w:color="auto"/>
        <w:bottom w:val="none" w:sz="0" w:space="0" w:color="auto"/>
        <w:right w:val="none" w:sz="0" w:space="0" w:color="auto"/>
      </w:divBdr>
      <w:divsChild>
        <w:div w:id="1691755140">
          <w:marLeft w:val="0"/>
          <w:marRight w:val="0"/>
          <w:marTop w:val="0"/>
          <w:marBottom w:val="0"/>
          <w:divBdr>
            <w:top w:val="none" w:sz="0" w:space="0" w:color="auto"/>
            <w:left w:val="none" w:sz="0" w:space="0" w:color="auto"/>
            <w:bottom w:val="none" w:sz="0" w:space="0" w:color="auto"/>
            <w:right w:val="none" w:sz="0" w:space="0" w:color="auto"/>
          </w:divBdr>
          <w:divsChild>
            <w:div w:id="1515849314">
              <w:marLeft w:val="0"/>
              <w:marRight w:val="0"/>
              <w:marTop w:val="0"/>
              <w:marBottom w:val="0"/>
              <w:divBdr>
                <w:top w:val="none" w:sz="0" w:space="0" w:color="auto"/>
                <w:left w:val="none" w:sz="0" w:space="0" w:color="auto"/>
                <w:bottom w:val="none" w:sz="0" w:space="0" w:color="auto"/>
                <w:right w:val="none" w:sz="0" w:space="0" w:color="auto"/>
              </w:divBdr>
              <w:divsChild>
                <w:div w:id="44500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198037">
      <w:bodyDiv w:val="1"/>
      <w:marLeft w:val="0"/>
      <w:marRight w:val="0"/>
      <w:marTop w:val="0"/>
      <w:marBottom w:val="0"/>
      <w:divBdr>
        <w:top w:val="none" w:sz="0" w:space="0" w:color="auto"/>
        <w:left w:val="none" w:sz="0" w:space="0" w:color="auto"/>
        <w:bottom w:val="none" w:sz="0" w:space="0" w:color="auto"/>
        <w:right w:val="none" w:sz="0" w:space="0" w:color="auto"/>
      </w:divBdr>
      <w:divsChild>
        <w:div w:id="155535797">
          <w:marLeft w:val="0"/>
          <w:marRight w:val="0"/>
          <w:marTop w:val="0"/>
          <w:marBottom w:val="0"/>
          <w:divBdr>
            <w:top w:val="none" w:sz="0" w:space="0" w:color="auto"/>
            <w:left w:val="none" w:sz="0" w:space="0" w:color="auto"/>
            <w:bottom w:val="none" w:sz="0" w:space="0" w:color="auto"/>
            <w:right w:val="none" w:sz="0" w:space="0" w:color="auto"/>
          </w:divBdr>
          <w:divsChild>
            <w:div w:id="773595829">
              <w:marLeft w:val="0"/>
              <w:marRight w:val="0"/>
              <w:marTop w:val="0"/>
              <w:marBottom w:val="0"/>
              <w:divBdr>
                <w:top w:val="none" w:sz="0" w:space="0" w:color="auto"/>
                <w:left w:val="none" w:sz="0" w:space="0" w:color="auto"/>
                <w:bottom w:val="none" w:sz="0" w:space="0" w:color="auto"/>
                <w:right w:val="none" w:sz="0" w:space="0" w:color="auto"/>
              </w:divBdr>
              <w:divsChild>
                <w:div w:id="190213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330155">
      <w:bodyDiv w:val="1"/>
      <w:marLeft w:val="0"/>
      <w:marRight w:val="0"/>
      <w:marTop w:val="0"/>
      <w:marBottom w:val="0"/>
      <w:divBdr>
        <w:top w:val="none" w:sz="0" w:space="0" w:color="auto"/>
        <w:left w:val="none" w:sz="0" w:space="0" w:color="auto"/>
        <w:bottom w:val="none" w:sz="0" w:space="0" w:color="auto"/>
        <w:right w:val="none" w:sz="0" w:space="0" w:color="auto"/>
      </w:divBdr>
    </w:div>
    <w:div w:id="897401297">
      <w:bodyDiv w:val="1"/>
      <w:marLeft w:val="0"/>
      <w:marRight w:val="0"/>
      <w:marTop w:val="0"/>
      <w:marBottom w:val="0"/>
      <w:divBdr>
        <w:top w:val="none" w:sz="0" w:space="0" w:color="auto"/>
        <w:left w:val="none" w:sz="0" w:space="0" w:color="auto"/>
        <w:bottom w:val="none" w:sz="0" w:space="0" w:color="auto"/>
        <w:right w:val="none" w:sz="0" w:space="0" w:color="auto"/>
      </w:divBdr>
    </w:div>
    <w:div w:id="973365771">
      <w:bodyDiv w:val="1"/>
      <w:marLeft w:val="0"/>
      <w:marRight w:val="0"/>
      <w:marTop w:val="0"/>
      <w:marBottom w:val="0"/>
      <w:divBdr>
        <w:top w:val="none" w:sz="0" w:space="0" w:color="auto"/>
        <w:left w:val="none" w:sz="0" w:space="0" w:color="auto"/>
        <w:bottom w:val="none" w:sz="0" w:space="0" w:color="auto"/>
        <w:right w:val="none" w:sz="0" w:space="0" w:color="auto"/>
      </w:divBdr>
      <w:divsChild>
        <w:div w:id="2062627234">
          <w:marLeft w:val="0"/>
          <w:marRight w:val="0"/>
          <w:marTop w:val="0"/>
          <w:marBottom w:val="0"/>
          <w:divBdr>
            <w:top w:val="none" w:sz="0" w:space="0" w:color="auto"/>
            <w:left w:val="none" w:sz="0" w:space="0" w:color="auto"/>
            <w:bottom w:val="none" w:sz="0" w:space="0" w:color="auto"/>
            <w:right w:val="none" w:sz="0" w:space="0" w:color="auto"/>
          </w:divBdr>
          <w:divsChild>
            <w:div w:id="577010676">
              <w:marLeft w:val="0"/>
              <w:marRight w:val="0"/>
              <w:marTop w:val="0"/>
              <w:marBottom w:val="0"/>
              <w:divBdr>
                <w:top w:val="none" w:sz="0" w:space="0" w:color="auto"/>
                <w:left w:val="none" w:sz="0" w:space="0" w:color="auto"/>
                <w:bottom w:val="none" w:sz="0" w:space="0" w:color="auto"/>
                <w:right w:val="none" w:sz="0" w:space="0" w:color="auto"/>
              </w:divBdr>
              <w:divsChild>
                <w:div w:id="1583565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067586">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54775791">
      <w:bodyDiv w:val="1"/>
      <w:marLeft w:val="0"/>
      <w:marRight w:val="0"/>
      <w:marTop w:val="0"/>
      <w:marBottom w:val="0"/>
      <w:divBdr>
        <w:top w:val="none" w:sz="0" w:space="0" w:color="auto"/>
        <w:left w:val="none" w:sz="0" w:space="0" w:color="auto"/>
        <w:bottom w:val="none" w:sz="0" w:space="0" w:color="auto"/>
        <w:right w:val="none" w:sz="0" w:space="0" w:color="auto"/>
      </w:divBdr>
      <w:divsChild>
        <w:div w:id="1597440412">
          <w:marLeft w:val="0"/>
          <w:marRight w:val="0"/>
          <w:marTop w:val="0"/>
          <w:marBottom w:val="0"/>
          <w:divBdr>
            <w:top w:val="none" w:sz="0" w:space="0" w:color="auto"/>
            <w:left w:val="none" w:sz="0" w:space="0" w:color="auto"/>
            <w:bottom w:val="none" w:sz="0" w:space="0" w:color="auto"/>
            <w:right w:val="none" w:sz="0" w:space="0" w:color="auto"/>
          </w:divBdr>
          <w:divsChild>
            <w:div w:id="116920694">
              <w:marLeft w:val="0"/>
              <w:marRight w:val="0"/>
              <w:marTop w:val="0"/>
              <w:marBottom w:val="0"/>
              <w:divBdr>
                <w:top w:val="none" w:sz="0" w:space="0" w:color="auto"/>
                <w:left w:val="none" w:sz="0" w:space="0" w:color="auto"/>
                <w:bottom w:val="none" w:sz="0" w:space="0" w:color="auto"/>
                <w:right w:val="none" w:sz="0" w:space="0" w:color="auto"/>
              </w:divBdr>
              <w:divsChild>
                <w:div w:id="121361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42205693">
      <w:bodyDiv w:val="1"/>
      <w:marLeft w:val="0"/>
      <w:marRight w:val="0"/>
      <w:marTop w:val="0"/>
      <w:marBottom w:val="0"/>
      <w:divBdr>
        <w:top w:val="none" w:sz="0" w:space="0" w:color="auto"/>
        <w:left w:val="none" w:sz="0" w:space="0" w:color="auto"/>
        <w:bottom w:val="none" w:sz="0" w:space="0" w:color="auto"/>
        <w:right w:val="none" w:sz="0" w:space="0" w:color="auto"/>
      </w:divBdr>
      <w:divsChild>
        <w:div w:id="361637536">
          <w:marLeft w:val="0"/>
          <w:marRight w:val="0"/>
          <w:marTop w:val="0"/>
          <w:marBottom w:val="0"/>
          <w:divBdr>
            <w:top w:val="none" w:sz="0" w:space="0" w:color="auto"/>
            <w:left w:val="none" w:sz="0" w:space="0" w:color="auto"/>
            <w:bottom w:val="none" w:sz="0" w:space="0" w:color="auto"/>
            <w:right w:val="none" w:sz="0" w:space="0" w:color="auto"/>
          </w:divBdr>
          <w:divsChild>
            <w:div w:id="1864702875">
              <w:marLeft w:val="0"/>
              <w:marRight w:val="0"/>
              <w:marTop w:val="0"/>
              <w:marBottom w:val="0"/>
              <w:divBdr>
                <w:top w:val="none" w:sz="0" w:space="0" w:color="auto"/>
                <w:left w:val="none" w:sz="0" w:space="0" w:color="auto"/>
                <w:bottom w:val="none" w:sz="0" w:space="0" w:color="auto"/>
                <w:right w:val="none" w:sz="0" w:space="0" w:color="auto"/>
              </w:divBdr>
              <w:divsChild>
                <w:div w:id="1647126737">
                  <w:marLeft w:val="0"/>
                  <w:marRight w:val="0"/>
                  <w:marTop w:val="0"/>
                  <w:marBottom w:val="0"/>
                  <w:divBdr>
                    <w:top w:val="none" w:sz="0" w:space="0" w:color="auto"/>
                    <w:left w:val="none" w:sz="0" w:space="0" w:color="auto"/>
                    <w:bottom w:val="none" w:sz="0" w:space="0" w:color="auto"/>
                    <w:right w:val="none" w:sz="0" w:space="0" w:color="auto"/>
                  </w:divBdr>
                  <w:divsChild>
                    <w:div w:id="1510755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636772">
      <w:bodyDiv w:val="1"/>
      <w:marLeft w:val="0"/>
      <w:marRight w:val="0"/>
      <w:marTop w:val="0"/>
      <w:marBottom w:val="0"/>
      <w:divBdr>
        <w:top w:val="none" w:sz="0" w:space="0" w:color="auto"/>
        <w:left w:val="none" w:sz="0" w:space="0" w:color="auto"/>
        <w:bottom w:val="none" w:sz="0" w:space="0" w:color="auto"/>
        <w:right w:val="none" w:sz="0" w:space="0" w:color="auto"/>
      </w:divBdr>
      <w:divsChild>
        <w:div w:id="694229483">
          <w:marLeft w:val="0"/>
          <w:marRight w:val="0"/>
          <w:marTop w:val="0"/>
          <w:marBottom w:val="0"/>
          <w:divBdr>
            <w:top w:val="none" w:sz="0" w:space="0" w:color="auto"/>
            <w:left w:val="none" w:sz="0" w:space="0" w:color="auto"/>
            <w:bottom w:val="none" w:sz="0" w:space="0" w:color="auto"/>
            <w:right w:val="none" w:sz="0" w:space="0" w:color="auto"/>
          </w:divBdr>
          <w:divsChild>
            <w:div w:id="1180244668">
              <w:marLeft w:val="0"/>
              <w:marRight w:val="0"/>
              <w:marTop w:val="0"/>
              <w:marBottom w:val="0"/>
              <w:divBdr>
                <w:top w:val="none" w:sz="0" w:space="0" w:color="auto"/>
                <w:left w:val="none" w:sz="0" w:space="0" w:color="auto"/>
                <w:bottom w:val="none" w:sz="0" w:space="0" w:color="auto"/>
                <w:right w:val="none" w:sz="0" w:space="0" w:color="auto"/>
              </w:divBdr>
              <w:divsChild>
                <w:div w:id="191411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956499">
      <w:bodyDiv w:val="1"/>
      <w:marLeft w:val="0"/>
      <w:marRight w:val="0"/>
      <w:marTop w:val="0"/>
      <w:marBottom w:val="0"/>
      <w:divBdr>
        <w:top w:val="none" w:sz="0" w:space="0" w:color="auto"/>
        <w:left w:val="none" w:sz="0" w:space="0" w:color="auto"/>
        <w:bottom w:val="none" w:sz="0" w:space="0" w:color="auto"/>
        <w:right w:val="none" w:sz="0" w:space="0" w:color="auto"/>
      </w:divBdr>
      <w:divsChild>
        <w:div w:id="1715160111">
          <w:marLeft w:val="0"/>
          <w:marRight w:val="0"/>
          <w:marTop w:val="0"/>
          <w:marBottom w:val="0"/>
          <w:divBdr>
            <w:top w:val="none" w:sz="0" w:space="0" w:color="auto"/>
            <w:left w:val="none" w:sz="0" w:space="0" w:color="auto"/>
            <w:bottom w:val="none" w:sz="0" w:space="0" w:color="auto"/>
            <w:right w:val="none" w:sz="0" w:space="0" w:color="auto"/>
          </w:divBdr>
          <w:divsChild>
            <w:div w:id="132525575">
              <w:marLeft w:val="0"/>
              <w:marRight w:val="0"/>
              <w:marTop w:val="0"/>
              <w:marBottom w:val="0"/>
              <w:divBdr>
                <w:top w:val="none" w:sz="0" w:space="0" w:color="auto"/>
                <w:left w:val="none" w:sz="0" w:space="0" w:color="auto"/>
                <w:bottom w:val="none" w:sz="0" w:space="0" w:color="auto"/>
                <w:right w:val="none" w:sz="0" w:space="0" w:color="auto"/>
              </w:divBdr>
              <w:divsChild>
                <w:div w:id="382946056">
                  <w:marLeft w:val="0"/>
                  <w:marRight w:val="0"/>
                  <w:marTop w:val="0"/>
                  <w:marBottom w:val="0"/>
                  <w:divBdr>
                    <w:top w:val="none" w:sz="0" w:space="0" w:color="auto"/>
                    <w:left w:val="none" w:sz="0" w:space="0" w:color="auto"/>
                    <w:bottom w:val="none" w:sz="0" w:space="0" w:color="auto"/>
                    <w:right w:val="none" w:sz="0" w:space="0" w:color="auto"/>
                  </w:divBdr>
                  <w:divsChild>
                    <w:div w:id="28574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681834">
      <w:bodyDiv w:val="1"/>
      <w:marLeft w:val="0"/>
      <w:marRight w:val="0"/>
      <w:marTop w:val="0"/>
      <w:marBottom w:val="0"/>
      <w:divBdr>
        <w:top w:val="none" w:sz="0" w:space="0" w:color="auto"/>
        <w:left w:val="none" w:sz="0" w:space="0" w:color="auto"/>
        <w:bottom w:val="none" w:sz="0" w:space="0" w:color="auto"/>
        <w:right w:val="none" w:sz="0" w:space="0" w:color="auto"/>
      </w:divBdr>
    </w:div>
    <w:div w:id="1903827170">
      <w:bodyDiv w:val="1"/>
      <w:marLeft w:val="0"/>
      <w:marRight w:val="0"/>
      <w:marTop w:val="0"/>
      <w:marBottom w:val="0"/>
      <w:divBdr>
        <w:top w:val="none" w:sz="0" w:space="0" w:color="auto"/>
        <w:left w:val="none" w:sz="0" w:space="0" w:color="auto"/>
        <w:bottom w:val="none" w:sz="0" w:space="0" w:color="auto"/>
        <w:right w:val="none" w:sz="0" w:space="0" w:color="auto"/>
      </w:divBdr>
      <w:divsChild>
        <w:div w:id="148594020">
          <w:marLeft w:val="0"/>
          <w:marRight w:val="0"/>
          <w:marTop w:val="0"/>
          <w:marBottom w:val="0"/>
          <w:divBdr>
            <w:top w:val="none" w:sz="0" w:space="0" w:color="auto"/>
            <w:left w:val="none" w:sz="0" w:space="0" w:color="auto"/>
            <w:bottom w:val="none" w:sz="0" w:space="0" w:color="auto"/>
            <w:right w:val="none" w:sz="0" w:space="0" w:color="auto"/>
          </w:divBdr>
          <w:divsChild>
            <w:div w:id="243496481">
              <w:marLeft w:val="0"/>
              <w:marRight w:val="0"/>
              <w:marTop w:val="0"/>
              <w:marBottom w:val="0"/>
              <w:divBdr>
                <w:top w:val="none" w:sz="0" w:space="0" w:color="auto"/>
                <w:left w:val="none" w:sz="0" w:space="0" w:color="auto"/>
                <w:bottom w:val="none" w:sz="0" w:space="0" w:color="auto"/>
                <w:right w:val="none" w:sz="0" w:space="0" w:color="auto"/>
              </w:divBdr>
              <w:divsChild>
                <w:div w:id="52941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229553">
      <w:bodyDiv w:val="1"/>
      <w:marLeft w:val="0"/>
      <w:marRight w:val="0"/>
      <w:marTop w:val="0"/>
      <w:marBottom w:val="0"/>
      <w:divBdr>
        <w:top w:val="none" w:sz="0" w:space="0" w:color="auto"/>
        <w:left w:val="none" w:sz="0" w:space="0" w:color="auto"/>
        <w:bottom w:val="none" w:sz="0" w:space="0" w:color="auto"/>
        <w:right w:val="none" w:sz="0" w:space="0" w:color="auto"/>
      </w:divBdr>
    </w:div>
    <w:div w:id="212476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4</Pages>
  <Words>1056</Words>
  <Characters>7932</Characters>
  <Application>Microsoft Office Word</Application>
  <DocSecurity>0</DocSecurity>
  <Lines>440</Lines>
  <Paragraphs>236</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Rolando Bettancourt Ortega</cp:lastModifiedBy>
  <cp:revision>7</cp:revision>
  <dcterms:created xsi:type="dcterms:W3CDTF">2023-08-11T23:06:00Z</dcterms:created>
  <dcterms:modified xsi:type="dcterms:W3CDTF">2023-08-11T23:50:00Z</dcterms:modified>
</cp:coreProperties>
</file>